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3E" w:rsidRDefault="00CC117A" w:rsidP="00CC117A">
      <w:pPr>
        <w:pStyle w:val="Heading7"/>
        <w:spacing w:after="240"/>
        <w:ind w:left="4320" w:firstLine="720"/>
        <w:rPr>
          <w:bCs w:val="0"/>
          <w:u w:val="none"/>
        </w:rPr>
      </w:pPr>
      <w:r>
        <w:rPr>
          <w:bCs w:val="0"/>
          <w:u w:val="none"/>
        </w:rPr>
        <w:t xml:space="preserve">                            </w:t>
      </w:r>
    </w:p>
    <w:p w:rsidR="00E66E3E" w:rsidRPr="00E2495E" w:rsidRDefault="00E66E3E" w:rsidP="00E66E3E"/>
    <w:p w:rsidR="00E66E3E" w:rsidRDefault="00E66E3E" w:rsidP="00E66E3E">
      <w:pPr>
        <w:spacing w:after="240"/>
      </w:pPr>
    </w:p>
    <w:p w:rsidR="00E66E3E" w:rsidRDefault="00E66E3E" w:rsidP="00E66E3E">
      <w:pPr>
        <w:pStyle w:val="DictionarySectionBreak"/>
        <w:spacing w:after="240"/>
      </w:pPr>
    </w:p>
    <w:p w:rsidR="00E66E3E" w:rsidRDefault="00E66E3E" w:rsidP="00E66E3E">
      <w:pPr>
        <w:spacing w:after="240"/>
        <w:rPr>
          <w:b/>
          <w:bCs/>
        </w:rPr>
      </w:pPr>
    </w:p>
    <w:p w:rsidR="00E66E3E" w:rsidRDefault="00E66E3E" w:rsidP="00E66E3E">
      <w:pPr>
        <w:spacing w:after="240"/>
      </w:pPr>
    </w:p>
    <w:p w:rsidR="00E66E3E" w:rsidRPr="00A87172" w:rsidRDefault="006B01E9" w:rsidP="00E66E3E">
      <w:pPr>
        <w:spacing w:after="240"/>
        <w:jc w:val="center"/>
      </w:pPr>
      <w:r w:rsidRPr="0087688A">
        <w:rPr>
          <w:sz w:val="28"/>
          <w:lang w:eastAsia="en-AU"/>
        </w:rPr>
        <w:t>2013</w:t>
      </w:r>
      <w:r>
        <w:rPr>
          <w:sz w:val="28"/>
          <w:lang w:eastAsia="en-AU"/>
        </w:rPr>
        <w:noBreakHyphen/>
      </w:r>
      <w:r w:rsidRPr="0087688A">
        <w:rPr>
          <w:sz w:val="28"/>
          <w:lang w:eastAsia="en-AU"/>
        </w:rPr>
        <w:t>2014</w:t>
      </w:r>
      <w:r>
        <w:rPr>
          <w:sz w:val="28"/>
          <w:lang w:eastAsia="en-AU"/>
        </w:rPr>
        <w:noBreakHyphen/>
      </w:r>
      <w:r w:rsidRPr="0087688A">
        <w:rPr>
          <w:sz w:val="28"/>
          <w:lang w:eastAsia="en-AU"/>
        </w:rPr>
        <w:t>2015</w:t>
      </w:r>
      <w:r>
        <w:rPr>
          <w:sz w:val="28"/>
          <w:lang w:eastAsia="en-AU"/>
        </w:rPr>
        <w:noBreakHyphen/>
      </w:r>
      <w:r w:rsidRPr="0087688A">
        <w:rPr>
          <w:sz w:val="28"/>
          <w:lang w:eastAsia="en-AU"/>
        </w:rPr>
        <w:t>2016</w:t>
      </w:r>
    </w:p>
    <w:p w:rsidR="00E66E3E" w:rsidRDefault="00E66E3E" w:rsidP="00E66E3E">
      <w:pPr>
        <w:spacing w:after="240"/>
        <w:jc w:val="center"/>
      </w:pPr>
    </w:p>
    <w:p w:rsidR="00E66E3E" w:rsidRDefault="00E66E3E" w:rsidP="00E66E3E">
      <w:pPr>
        <w:spacing w:after="240"/>
        <w:jc w:val="center"/>
      </w:pPr>
    </w:p>
    <w:p w:rsidR="00E66E3E" w:rsidRDefault="00E66E3E" w:rsidP="00E66E3E">
      <w:pPr>
        <w:spacing w:after="240"/>
        <w:jc w:val="center"/>
      </w:pPr>
      <w:r>
        <w:t xml:space="preserve">THE PARLIAMENT OF THE COMMONWEALTH OF </w:t>
      </w:r>
      <w:smartTag w:uri="urn:schemas-microsoft-com:office:smarttags" w:element="place">
        <w:smartTag w:uri="urn:schemas-microsoft-com:office:smarttags" w:element="country-region">
          <w:r>
            <w:t>AUSTRALIA</w:t>
          </w:r>
        </w:smartTag>
      </w:smartTag>
    </w:p>
    <w:p w:rsidR="00E66E3E" w:rsidRDefault="00E66E3E" w:rsidP="00E66E3E">
      <w:pPr>
        <w:spacing w:after="240"/>
        <w:jc w:val="center"/>
      </w:pPr>
    </w:p>
    <w:p w:rsidR="00E66E3E" w:rsidRDefault="00E66E3E" w:rsidP="00E66E3E">
      <w:pPr>
        <w:spacing w:after="240"/>
        <w:jc w:val="center"/>
      </w:pPr>
    </w:p>
    <w:p w:rsidR="00E66E3E" w:rsidRDefault="00E66E3E" w:rsidP="00E66E3E">
      <w:pPr>
        <w:spacing w:after="240"/>
        <w:jc w:val="center"/>
      </w:pPr>
      <w:r>
        <w:t>HOUSE OF R</w:t>
      </w:r>
      <w:bookmarkStart w:id="0" w:name="_GoBack"/>
      <w:bookmarkEnd w:id="0"/>
      <w:r>
        <w:t>EPRESENTATIVES</w:t>
      </w:r>
    </w:p>
    <w:p w:rsidR="00E66E3E" w:rsidRDefault="00E66E3E" w:rsidP="00E66E3E">
      <w:pPr>
        <w:spacing w:after="240"/>
        <w:jc w:val="center"/>
      </w:pPr>
    </w:p>
    <w:p w:rsidR="00E66E3E" w:rsidRDefault="00E66E3E" w:rsidP="00E66E3E">
      <w:pPr>
        <w:spacing w:after="240"/>
        <w:jc w:val="center"/>
      </w:pPr>
    </w:p>
    <w:p w:rsidR="00E66E3E" w:rsidRDefault="00E66E3E" w:rsidP="00E66E3E">
      <w:pPr>
        <w:spacing w:after="240"/>
      </w:pPr>
    </w:p>
    <w:p w:rsidR="00147C4B" w:rsidRPr="00266A33" w:rsidRDefault="00147C4B" w:rsidP="00266A33">
      <w:pPr>
        <w:pStyle w:val="ShortT"/>
        <w:jc w:val="center"/>
        <w:rPr>
          <w:sz w:val="28"/>
          <w:szCs w:val="28"/>
        </w:rPr>
      </w:pPr>
      <w:r w:rsidRPr="00266A33">
        <w:rPr>
          <w:sz w:val="28"/>
          <w:szCs w:val="28"/>
        </w:rPr>
        <w:t>Trade Legislation Amendment Bill (No. 1) 2016</w:t>
      </w:r>
    </w:p>
    <w:p w:rsidR="00E66E3E" w:rsidRDefault="00BB4B26" w:rsidP="00E66E3E">
      <w:pPr>
        <w:pStyle w:val="Heading4"/>
        <w:spacing w:after="240"/>
      </w:pPr>
      <w:r>
        <w:t xml:space="preserve"> </w:t>
      </w:r>
    </w:p>
    <w:p w:rsidR="00E66E3E" w:rsidRDefault="00E66E3E" w:rsidP="00E66E3E">
      <w:pPr>
        <w:spacing w:after="240"/>
      </w:pPr>
    </w:p>
    <w:p w:rsidR="00E66E3E" w:rsidRDefault="00E66E3E" w:rsidP="00E66E3E">
      <w:pPr>
        <w:spacing w:after="240"/>
        <w:jc w:val="center"/>
      </w:pPr>
    </w:p>
    <w:p w:rsidR="00E66E3E" w:rsidRDefault="00E66E3E" w:rsidP="00E66E3E">
      <w:pPr>
        <w:spacing w:after="240"/>
        <w:jc w:val="center"/>
      </w:pPr>
    </w:p>
    <w:p w:rsidR="00E66E3E" w:rsidRDefault="00E66E3E" w:rsidP="00E66E3E">
      <w:pPr>
        <w:spacing w:after="240"/>
        <w:jc w:val="center"/>
      </w:pPr>
    </w:p>
    <w:p w:rsidR="00E66E3E" w:rsidRDefault="00E66E3E" w:rsidP="00E66E3E">
      <w:pPr>
        <w:spacing w:after="240"/>
        <w:jc w:val="center"/>
      </w:pPr>
    </w:p>
    <w:p w:rsidR="00E66E3E" w:rsidRDefault="00E66E3E" w:rsidP="00E66E3E">
      <w:pPr>
        <w:spacing w:after="240"/>
        <w:jc w:val="center"/>
      </w:pPr>
      <w:r>
        <w:t>EXPLANATORY MEMORANDUM</w:t>
      </w:r>
    </w:p>
    <w:p w:rsidR="00E66E3E" w:rsidRDefault="00E66E3E" w:rsidP="00E66E3E">
      <w:pPr>
        <w:spacing w:after="240"/>
        <w:jc w:val="center"/>
      </w:pPr>
    </w:p>
    <w:p w:rsidR="00E66E3E" w:rsidRDefault="00E66E3E" w:rsidP="00E66E3E">
      <w:pPr>
        <w:spacing w:after="240"/>
        <w:jc w:val="center"/>
      </w:pPr>
    </w:p>
    <w:p w:rsidR="00E66E3E" w:rsidRDefault="000A46F0" w:rsidP="00E66E3E">
      <w:pPr>
        <w:spacing w:after="240"/>
        <w:jc w:val="center"/>
      </w:pPr>
      <w:r>
        <w:t>(</w:t>
      </w:r>
      <w:r w:rsidR="006E5399">
        <w:t>C</w:t>
      </w:r>
      <w:r w:rsidR="00E66E3E">
        <w:t>irculated by authority of the Minister for Trade</w:t>
      </w:r>
      <w:r w:rsidR="004F4E3F">
        <w:t xml:space="preserve"> and </w:t>
      </w:r>
      <w:r>
        <w:t xml:space="preserve">Investment, </w:t>
      </w:r>
      <w:r>
        <w:br/>
        <w:t xml:space="preserve">the </w:t>
      </w:r>
      <w:proofErr w:type="spellStart"/>
      <w:r>
        <w:t>Hon</w:t>
      </w:r>
      <w:proofErr w:type="spellEnd"/>
      <w:r>
        <w:t xml:space="preserve"> Andrew Robb AO MP)</w:t>
      </w:r>
    </w:p>
    <w:p w:rsidR="00E66E3E" w:rsidRDefault="00E66E3E" w:rsidP="00E66E3E">
      <w:pPr>
        <w:spacing w:after="240"/>
      </w:pPr>
      <w:r>
        <w:lastRenderedPageBreak/>
        <w:br w:type="page"/>
      </w:r>
    </w:p>
    <w:p w:rsidR="00E66E3E" w:rsidRDefault="00792D59" w:rsidP="00792D59">
      <w:pPr>
        <w:pStyle w:val="Heading5"/>
        <w:spacing w:after="240"/>
        <w:jc w:val="left"/>
        <w:rPr>
          <w:sz w:val="28"/>
        </w:rPr>
      </w:pPr>
      <w:r w:rsidRPr="00266A33">
        <w:rPr>
          <w:sz w:val="28"/>
          <w:szCs w:val="28"/>
        </w:rPr>
        <w:lastRenderedPageBreak/>
        <w:t>TRADE LEGISLATION AMENDMENT BILL (NO. 1) 2016</w:t>
      </w:r>
    </w:p>
    <w:p w:rsidR="00E66E3E" w:rsidRPr="00D203C8" w:rsidRDefault="00E66E3E" w:rsidP="00E66E3E">
      <w:pPr>
        <w:pStyle w:val="Heading1"/>
        <w:spacing w:after="240"/>
        <w:rPr>
          <w:rFonts w:ascii="Times New Roman" w:hAnsi="Times New Roman"/>
        </w:rPr>
      </w:pPr>
      <w:bookmarkStart w:id="1" w:name="_Toc130635440"/>
      <w:r w:rsidRPr="00D203C8">
        <w:rPr>
          <w:rFonts w:ascii="Times New Roman" w:hAnsi="Times New Roman"/>
        </w:rPr>
        <w:t>OUTLINE</w:t>
      </w:r>
      <w:bookmarkEnd w:id="1"/>
    </w:p>
    <w:p w:rsidR="004E307A" w:rsidRDefault="009431DF" w:rsidP="00755365">
      <w:pPr>
        <w:pStyle w:val="DictionarySectionBreak"/>
        <w:spacing w:after="240"/>
      </w:pPr>
      <w:r w:rsidRPr="00F916DD">
        <w:rPr>
          <w:rFonts w:eastAsia="Calibri"/>
          <w:szCs w:val="24"/>
        </w:rPr>
        <w:t xml:space="preserve">This Bill </w:t>
      </w:r>
      <w:r w:rsidR="00D01ACC">
        <w:rPr>
          <w:rFonts w:eastAsia="Calibri"/>
          <w:szCs w:val="24"/>
        </w:rPr>
        <w:t xml:space="preserve">is </w:t>
      </w:r>
      <w:r w:rsidR="00D01ACC" w:rsidRPr="0087688A">
        <w:t xml:space="preserve">for an </w:t>
      </w:r>
      <w:r w:rsidR="00266A33">
        <w:t xml:space="preserve">Act to amend </w:t>
      </w:r>
      <w:r w:rsidR="00266A33" w:rsidRPr="00916CC6">
        <w:t>legislation relating to export and trade, and for other purposes</w:t>
      </w:r>
      <w:r w:rsidR="004E307A">
        <w:t>.</w:t>
      </w:r>
    </w:p>
    <w:p w:rsidR="009431DF" w:rsidRDefault="004E307A" w:rsidP="00755365">
      <w:pPr>
        <w:pStyle w:val="DictionarySectionBreak"/>
        <w:spacing w:after="240"/>
        <w:rPr>
          <w:rFonts w:eastAsia="Calibri"/>
          <w:szCs w:val="24"/>
        </w:rPr>
      </w:pPr>
      <w:r w:rsidRPr="003C5FCC">
        <w:rPr>
          <w:b/>
        </w:rPr>
        <w:t>Schedule 1</w:t>
      </w:r>
      <w:r>
        <w:t xml:space="preserve"> of this Bill amends the </w:t>
      </w:r>
      <w:r w:rsidR="009431DF" w:rsidRPr="00D42B6D">
        <w:rPr>
          <w:rFonts w:eastAsia="Calibri"/>
          <w:i/>
          <w:szCs w:val="24"/>
        </w:rPr>
        <w:t xml:space="preserve">Export Market Development Grants </w:t>
      </w:r>
      <w:r w:rsidR="00AD3270" w:rsidRPr="00D42B6D">
        <w:rPr>
          <w:rFonts w:eastAsia="Calibri"/>
          <w:i/>
          <w:szCs w:val="24"/>
        </w:rPr>
        <w:t>Act 1997</w:t>
      </w:r>
      <w:r w:rsidR="009431DF" w:rsidRPr="00F916DD">
        <w:rPr>
          <w:rFonts w:eastAsia="Calibri"/>
          <w:szCs w:val="24"/>
        </w:rPr>
        <w:t xml:space="preserve"> to </w:t>
      </w:r>
      <w:r w:rsidR="005775D2">
        <w:rPr>
          <w:rFonts w:eastAsia="Calibri"/>
          <w:szCs w:val="24"/>
        </w:rPr>
        <w:t>give effect to several key recommendations resulting from the 2015 Review of the Export Market D</w:t>
      </w:r>
      <w:r>
        <w:rPr>
          <w:rFonts w:eastAsia="Calibri"/>
          <w:szCs w:val="24"/>
        </w:rPr>
        <w:t>evelopment Grants (</w:t>
      </w:r>
      <w:proofErr w:type="spellStart"/>
      <w:r>
        <w:rPr>
          <w:rFonts w:eastAsia="Calibri"/>
          <w:szCs w:val="24"/>
        </w:rPr>
        <w:t>EMDG</w:t>
      </w:r>
      <w:proofErr w:type="spellEnd"/>
      <w:r>
        <w:rPr>
          <w:rFonts w:eastAsia="Calibri"/>
          <w:szCs w:val="24"/>
        </w:rPr>
        <w:t xml:space="preserve">) scheme.  </w:t>
      </w:r>
      <w:r w:rsidR="00AD3270">
        <w:rPr>
          <w:rFonts w:eastAsia="Calibri"/>
          <w:szCs w:val="24"/>
        </w:rPr>
        <w:t>It</w:t>
      </w:r>
      <w:r>
        <w:rPr>
          <w:rFonts w:eastAsia="Calibri"/>
          <w:szCs w:val="24"/>
        </w:rPr>
        <w:t xml:space="preserve"> also </w:t>
      </w:r>
      <w:r w:rsidR="005775D2">
        <w:rPr>
          <w:rFonts w:eastAsia="Calibri"/>
          <w:szCs w:val="24"/>
        </w:rPr>
        <w:t>make</w:t>
      </w:r>
      <w:r w:rsidR="00AD3270">
        <w:rPr>
          <w:rFonts w:eastAsia="Calibri"/>
          <w:szCs w:val="24"/>
        </w:rPr>
        <w:t>s</w:t>
      </w:r>
      <w:r w:rsidR="005775D2">
        <w:rPr>
          <w:rFonts w:eastAsia="Calibri"/>
          <w:szCs w:val="24"/>
        </w:rPr>
        <w:t xml:space="preserve"> minor policy and technical amendments to improve the operation of the </w:t>
      </w:r>
      <w:r w:rsidR="005775D2" w:rsidRPr="005775D2">
        <w:rPr>
          <w:rFonts w:eastAsia="Calibri"/>
          <w:i/>
          <w:szCs w:val="24"/>
        </w:rPr>
        <w:t>Export Market Development Grants Act 1997</w:t>
      </w:r>
      <w:r w:rsidR="00D42B6D">
        <w:rPr>
          <w:rFonts w:eastAsia="Calibri"/>
          <w:szCs w:val="24"/>
        </w:rPr>
        <w:t xml:space="preserve">, and delivers </w:t>
      </w:r>
      <w:r w:rsidR="005775D2">
        <w:rPr>
          <w:rFonts w:eastAsia="Calibri"/>
          <w:szCs w:val="24"/>
        </w:rPr>
        <w:t>savings to align the scheme closer to its budget.</w:t>
      </w:r>
      <w:r w:rsidR="009431DF">
        <w:rPr>
          <w:rFonts w:eastAsia="Calibri"/>
          <w:szCs w:val="24"/>
        </w:rPr>
        <w:t xml:space="preserve"> </w:t>
      </w:r>
    </w:p>
    <w:p w:rsidR="00E66E3E" w:rsidRDefault="00755365" w:rsidP="00755365">
      <w:pPr>
        <w:pStyle w:val="DictionarySectionBreak"/>
        <w:spacing w:after="240"/>
        <w:rPr>
          <w:szCs w:val="24"/>
          <w:lang w:val="en-US"/>
        </w:rPr>
      </w:pPr>
      <w:r>
        <w:rPr>
          <w:szCs w:val="24"/>
          <w:lang w:val="en-US"/>
        </w:rPr>
        <w:t>The purpose of</w:t>
      </w:r>
      <w:r w:rsidR="004E307A">
        <w:rPr>
          <w:szCs w:val="24"/>
          <w:lang w:val="en-US"/>
        </w:rPr>
        <w:t xml:space="preserve"> Schedule 1 of</w:t>
      </w:r>
      <w:r>
        <w:rPr>
          <w:szCs w:val="24"/>
          <w:lang w:val="en-US"/>
        </w:rPr>
        <w:t xml:space="preserve"> t</w:t>
      </w:r>
      <w:r w:rsidR="00E66E3E">
        <w:rPr>
          <w:szCs w:val="24"/>
          <w:lang w:val="en-US"/>
        </w:rPr>
        <w:t xml:space="preserve">his </w:t>
      </w:r>
      <w:r w:rsidR="009431DF">
        <w:rPr>
          <w:szCs w:val="24"/>
          <w:lang w:val="en-US"/>
        </w:rPr>
        <w:t>B</w:t>
      </w:r>
      <w:r w:rsidR="00E66E3E">
        <w:rPr>
          <w:szCs w:val="24"/>
          <w:lang w:val="en-US"/>
        </w:rPr>
        <w:t xml:space="preserve">ill </w:t>
      </w:r>
      <w:r>
        <w:rPr>
          <w:szCs w:val="24"/>
          <w:lang w:val="en-US"/>
        </w:rPr>
        <w:t>is to amend</w:t>
      </w:r>
      <w:r w:rsidR="00E66E3E">
        <w:rPr>
          <w:szCs w:val="24"/>
          <w:lang w:val="en-US"/>
        </w:rPr>
        <w:t xml:space="preserve"> the </w:t>
      </w:r>
      <w:r w:rsidR="00E66E3E">
        <w:rPr>
          <w:i/>
          <w:iCs/>
          <w:szCs w:val="24"/>
          <w:lang w:val="en-US"/>
        </w:rPr>
        <w:t>Export Market Development Grants Act 1997</w:t>
      </w:r>
      <w:r w:rsidR="00E66E3E">
        <w:rPr>
          <w:szCs w:val="24"/>
          <w:lang w:val="en-US"/>
        </w:rPr>
        <w:t xml:space="preserve"> (the Act) to</w:t>
      </w:r>
      <w:r>
        <w:rPr>
          <w:szCs w:val="24"/>
          <w:lang w:val="en-US"/>
        </w:rPr>
        <w:t>:</w:t>
      </w:r>
    </w:p>
    <w:p w:rsidR="00166140" w:rsidRDefault="00166140" w:rsidP="00166140">
      <w:pPr>
        <w:pStyle w:val="DictionarySectionBreak"/>
        <w:spacing w:after="240"/>
        <w:rPr>
          <w:szCs w:val="24"/>
          <w:lang w:val="en-US"/>
        </w:rPr>
      </w:pPr>
      <w:r w:rsidRPr="00F916DD">
        <w:rPr>
          <w:szCs w:val="24"/>
          <w:lang w:val="en-US"/>
        </w:rPr>
        <w:t>•</w:t>
      </w:r>
      <w:r w:rsidRPr="00F916DD">
        <w:rPr>
          <w:szCs w:val="24"/>
          <w:lang w:val="en-US"/>
        </w:rPr>
        <w:tab/>
        <w:t xml:space="preserve"> </w:t>
      </w:r>
      <w:r>
        <w:rPr>
          <w:szCs w:val="24"/>
          <w:lang w:val="en-US"/>
        </w:rPr>
        <w:t xml:space="preserve">Remove communications as an eligible expenditure category to reflect the reduced cost of communications </w:t>
      </w:r>
      <w:r w:rsidR="00AD3270">
        <w:rPr>
          <w:szCs w:val="24"/>
          <w:lang w:val="en-US"/>
        </w:rPr>
        <w:t>as a result of advances in technology</w:t>
      </w:r>
    </w:p>
    <w:p w:rsidR="006341A2" w:rsidRDefault="006341A2" w:rsidP="006341A2">
      <w:pPr>
        <w:pStyle w:val="DictionarySectionBreak"/>
        <w:spacing w:after="240"/>
        <w:rPr>
          <w:szCs w:val="24"/>
          <w:lang w:val="en-US"/>
        </w:rPr>
      </w:pPr>
      <w:r w:rsidRPr="00F916DD">
        <w:rPr>
          <w:szCs w:val="24"/>
          <w:lang w:val="en-US"/>
        </w:rPr>
        <w:t>•</w:t>
      </w:r>
      <w:r w:rsidRPr="00F916DD">
        <w:rPr>
          <w:szCs w:val="24"/>
          <w:lang w:val="en-US"/>
        </w:rPr>
        <w:tab/>
        <w:t xml:space="preserve"> </w:t>
      </w:r>
      <w:r>
        <w:rPr>
          <w:szCs w:val="24"/>
          <w:lang w:val="en-US"/>
        </w:rPr>
        <w:t xml:space="preserve">Place a </w:t>
      </w:r>
      <w:r w:rsidR="00FA1971">
        <w:rPr>
          <w:szCs w:val="24"/>
          <w:lang w:val="en-US"/>
        </w:rPr>
        <w:t>limit</w:t>
      </w:r>
      <w:r>
        <w:rPr>
          <w:szCs w:val="24"/>
          <w:lang w:val="en-US"/>
        </w:rPr>
        <w:t xml:space="preserve"> </w:t>
      </w:r>
      <w:r w:rsidR="000C3ECA">
        <w:rPr>
          <w:szCs w:val="24"/>
          <w:lang w:val="en-US"/>
        </w:rPr>
        <w:t xml:space="preserve">of $15,000 </w:t>
      </w:r>
      <w:r>
        <w:rPr>
          <w:szCs w:val="24"/>
          <w:lang w:val="en-US"/>
        </w:rPr>
        <w:t>on the free sample</w:t>
      </w:r>
      <w:r w:rsidR="00FA1971">
        <w:rPr>
          <w:szCs w:val="24"/>
          <w:lang w:val="en-US"/>
        </w:rPr>
        <w:t xml:space="preserve"> expenditure category</w:t>
      </w:r>
      <w:r w:rsidR="000C3ECA">
        <w:rPr>
          <w:szCs w:val="24"/>
          <w:lang w:val="en-US"/>
        </w:rPr>
        <w:t xml:space="preserve">, noting that for </w:t>
      </w:r>
      <w:r w:rsidR="003C5FCC">
        <w:rPr>
          <w:szCs w:val="24"/>
          <w:lang w:val="en-US"/>
        </w:rPr>
        <w:t xml:space="preserve">claimants that are combining two years of expenditure, and one of these years is </w:t>
      </w:r>
      <w:r w:rsidR="000C3ECA">
        <w:rPr>
          <w:szCs w:val="24"/>
          <w:lang w:val="en-US"/>
        </w:rPr>
        <w:t>the 2015-16 financial year</w:t>
      </w:r>
      <w:r w:rsidR="003C5FCC">
        <w:rPr>
          <w:szCs w:val="24"/>
          <w:lang w:val="en-US"/>
        </w:rPr>
        <w:t>, no limit applies</w:t>
      </w:r>
    </w:p>
    <w:p w:rsidR="00FA1971" w:rsidRDefault="00FA1971" w:rsidP="006341A2">
      <w:pPr>
        <w:pStyle w:val="DictionarySectionBreak"/>
        <w:spacing w:after="240"/>
        <w:rPr>
          <w:szCs w:val="24"/>
          <w:lang w:val="en-US"/>
        </w:rPr>
      </w:pPr>
      <w:r w:rsidRPr="00F916DD">
        <w:rPr>
          <w:szCs w:val="24"/>
          <w:lang w:val="en-US"/>
        </w:rPr>
        <w:t>•</w:t>
      </w:r>
      <w:r w:rsidRPr="00F916DD">
        <w:rPr>
          <w:szCs w:val="24"/>
          <w:lang w:val="en-US"/>
        </w:rPr>
        <w:tab/>
        <w:t xml:space="preserve"> </w:t>
      </w:r>
      <w:r w:rsidR="003C5FCC">
        <w:rPr>
          <w:szCs w:val="24"/>
          <w:lang w:val="en-US"/>
        </w:rPr>
        <w:t>Describe the</w:t>
      </w:r>
      <w:r>
        <w:rPr>
          <w:szCs w:val="24"/>
          <w:lang w:val="en-US"/>
        </w:rPr>
        <w:t xml:space="preserve"> promotional literature or other adve</w:t>
      </w:r>
      <w:r w:rsidR="003C5FCC">
        <w:rPr>
          <w:szCs w:val="24"/>
          <w:lang w:val="en-US"/>
        </w:rPr>
        <w:t>rtising expenditure category so that it mentions l</w:t>
      </w:r>
      <w:r>
        <w:rPr>
          <w:szCs w:val="24"/>
          <w:lang w:val="en-US"/>
        </w:rPr>
        <w:t>iterature or material in electronic or any other form</w:t>
      </w:r>
    </w:p>
    <w:p w:rsidR="006341A2" w:rsidRDefault="006341A2" w:rsidP="006341A2">
      <w:pPr>
        <w:pStyle w:val="DictionarySectionBreak"/>
        <w:spacing w:after="240"/>
        <w:rPr>
          <w:szCs w:val="24"/>
          <w:lang w:val="en-US"/>
        </w:rPr>
      </w:pPr>
      <w:r w:rsidRPr="00F916DD">
        <w:rPr>
          <w:szCs w:val="24"/>
          <w:lang w:val="en-US"/>
        </w:rPr>
        <w:t>•</w:t>
      </w:r>
      <w:r w:rsidRPr="00F916DD">
        <w:rPr>
          <w:szCs w:val="24"/>
          <w:lang w:val="en-US"/>
        </w:rPr>
        <w:tab/>
        <w:t xml:space="preserve"> </w:t>
      </w:r>
      <w:r w:rsidR="00147C4B">
        <w:rPr>
          <w:szCs w:val="24"/>
          <w:lang w:val="en-US"/>
        </w:rPr>
        <w:t xml:space="preserve">Repeal </w:t>
      </w:r>
      <w:r w:rsidR="003C5FCC">
        <w:rPr>
          <w:szCs w:val="24"/>
          <w:lang w:val="en-US"/>
        </w:rPr>
        <w:t xml:space="preserve">the </w:t>
      </w:r>
      <w:r w:rsidR="00147C4B">
        <w:rPr>
          <w:szCs w:val="24"/>
          <w:lang w:val="en-US"/>
        </w:rPr>
        <w:t xml:space="preserve">provision </w:t>
      </w:r>
      <w:r w:rsidR="003C5FCC">
        <w:rPr>
          <w:szCs w:val="24"/>
          <w:lang w:val="en-US"/>
        </w:rPr>
        <w:t>allowing for the reimbursement of</w:t>
      </w:r>
      <w:r w:rsidR="00147C4B">
        <w:rPr>
          <w:szCs w:val="24"/>
          <w:lang w:val="en-US"/>
        </w:rPr>
        <w:t xml:space="preserve"> in-country travel </w:t>
      </w:r>
      <w:r w:rsidR="003C5FCC">
        <w:rPr>
          <w:szCs w:val="24"/>
          <w:lang w:val="en-US"/>
        </w:rPr>
        <w:t>(</w:t>
      </w:r>
      <w:r w:rsidR="00147C4B">
        <w:rPr>
          <w:szCs w:val="24"/>
          <w:lang w:val="en-US"/>
        </w:rPr>
        <w:t>other than air fares</w:t>
      </w:r>
      <w:r w:rsidR="003C5FCC">
        <w:rPr>
          <w:szCs w:val="24"/>
          <w:lang w:val="en-US"/>
        </w:rPr>
        <w:t>)</w:t>
      </w:r>
      <w:r w:rsidR="00147C4B">
        <w:rPr>
          <w:szCs w:val="24"/>
          <w:lang w:val="en-US"/>
        </w:rPr>
        <w:t xml:space="preserve"> and c</w:t>
      </w:r>
      <w:r>
        <w:rPr>
          <w:szCs w:val="24"/>
          <w:lang w:val="en-US"/>
        </w:rPr>
        <w:t>hange the amount of the daily allowance for overseas visits</w:t>
      </w:r>
      <w:r w:rsidR="000C3ECA">
        <w:rPr>
          <w:szCs w:val="24"/>
          <w:lang w:val="en-US"/>
        </w:rPr>
        <w:t xml:space="preserve"> from $300 to $350</w:t>
      </w:r>
    </w:p>
    <w:p w:rsidR="006341A2" w:rsidRDefault="00706FDF" w:rsidP="006341A2">
      <w:pPr>
        <w:pStyle w:val="DictionarySectionBreak"/>
        <w:spacing w:after="240"/>
        <w:rPr>
          <w:szCs w:val="24"/>
          <w:lang w:val="en-US"/>
        </w:rPr>
      </w:pPr>
      <w:r w:rsidRPr="00F916DD">
        <w:rPr>
          <w:szCs w:val="24"/>
          <w:lang w:val="en-US"/>
        </w:rPr>
        <w:t>•</w:t>
      </w:r>
      <w:r w:rsidRPr="00F916DD">
        <w:rPr>
          <w:szCs w:val="24"/>
          <w:lang w:val="en-US"/>
        </w:rPr>
        <w:tab/>
        <w:t xml:space="preserve"> </w:t>
      </w:r>
      <w:r w:rsidR="00FD6075">
        <w:rPr>
          <w:szCs w:val="24"/>
          <w:lang w:val="en-US"/>
        </w:rPr>
        <w:t>A</w:t>
      </w:r>
      <w:r>
        <w:rPr>
          <w:szCs w:val="24"/>
          <w:lang w:val="en-US"/>
        </w:rPr>
        <w:t xml:space="preserve">dd to the list of excluded expenses those relating to eligible promotional activities, things or eligible </w:t>
      </w:r>
      <w:r w:rsidR="00FD6075">
        <w:rPr>
          <w:szCs w:val="24"/>
          <w:lang w:val="en-US"/>
        </w:rPr>
        <w:t>products</w:t>
      </w:r>
      <w:r>
        <w:rPr>
          <w:szCs w:val="24"/>
          <w:lang w:val="en-US"/>
        </w:rPr>
        <w:t xml:space="preserve"> that </w:t>
      </w:r>
      <w:r w:rsidR="00853494">
        <w:rPr>
          <w:szCs w:val="24"/>
          <w:lang w:val="en-US"/>
        </w:rPr>
        <w:t xml:space="preserve">the CEO of </w:t>
      </w:r>
      <w:proofErr w:type="spellStart"/>
      <w:r w:rsidR="00853494">
        <w:rPr>
          <w:szCs w:val="24"/>
          <w:lang w:val="en-US"/>
        </w:rPr>
        <w:t>Austrade</w:t>
      </w:r>
      <w:proofErr w:type="spellEnd"/>
      <w:r w:rsidR="00853494">
        <w:rPr>
          <w:szCs w:val="24"/>
          <w:lang w:val="en-US"/>
        </w:rPr>
        <w:t xml:space="preserve"> considers </w:t>
      </w:r>
      <w:r w:rsidR="00AD3270">
        <w:rPr>
          <w:szCs w:val="24"/>
          <w:lang w:val="en-US"/>
        </w:rPr>
        <w:t xml:space="preserve">may </w:t>
      </w:r>
      <w:r w:rsidR="003C5FCC">
        <w:rPr>
          <w:szCs w:val="24"/>
          <w:lang w:val="en-US"/>
        </w:rPr>
        <w:t>have had a detrimental impact on Australia’s trade reputation.</w:t>
      </w:r>
    </w:p>
    <w:p w:rsidR="006341A2" w:rsidRPr="00F916DD" w:rsidRDefault="006341A2" w:rsidP="006341A2">
      <w:pPr>
        <w:pStyle w:val="DictionarySectionBreak"/>
        <w:spacing w:after="240"/>
        <w:rPr>
          <w:szCs w:val="24"/>
          <w:lang w:val="en-US"/>
        </w:rPr>
      </w:pPr>
      <w:r w:rsidRPr="00F916DD">
        <w:rPr>
          <w:szCs w:val="24"/>
          <w:lang w:val="en-US"/>
        </w:rPr>
        <w:t>•</w:t>
      </w:r>
      <w:r w:rsidRPr="00F916DD">
        <w:rPr>
          <w:szCs w:val="24"/>
          <w:lang w:val="en-US"/>
        </w:rPr>
        <w:tab/>
        <w:t xml:space="preserve"> </w:t>
      </w:r>
      <w:r>
        <w:rPr>
          <w:szCs w:val="24"/>
          <w:lang w:val="en-US"/>
        </w:rPr>
        <w:t xml:space="preserve">Permit </w:t>
      </w:r>
      <w:proofErr w:type="spellStart"/>
      <w:r>
        <w:rPr>
          <w:szCs w:val="24"/>
          <w:lang w:val="en-US"/>
        </w:rPr>
        <w:t>Austrade</w:t>
      </w:r>
      <w:proofErr w:type="spellEnd"/>
      <w:r>
        <w:rPr>
          <w:szCs w:val="24"/>
          <w:lang w:val="en-US"/>
        </w:rPr>
        <w:t xml:space="preserve"> to direct funds from other sources towards </w:t>
      </w:r>
      <w:proofErr w:type="spellStart"/>
      <w:r>
        <w:rPr>
          <w:szCs w:val="24"/>
          <w:lang w:val="en-US"/>
        </w:rPr>
        <w:t>EMDG</w:t>
      </w:r>
      <w:proofErr w:type="spellEnd"/>
      <w:r>
        <w:rPr>
          <w:szCs w:val="24"/>
          <w:lang w:val="en-US"/>
        </w:rPr>
        <w:t xml:space="preserve"> administration costs.</w:t>
      </w:r>
    </w:p>
    <w:p w:rsidR="006341A2" w:rsidRDefault="006341A2" w:rsidP="006341A2">
      <w:pPr>
        <w:pStyle w:val="DictionarySectionBreak"/>
        <w:spacing w:after="240"/>
        <w:rPr>
          <w:szCs w:val="24"/>
          <w:lang w:val="en-US"/>
        </w:rPr>
      </w:pPr>
      <w:r w:rsidRPr="00F916DD">
        <w:rPr>
          <w:szCs w:val="24"/>
          <w:lang w:val="en-US"/>
        </w:rPr>
        <w:t>•</w:t>
      </w:r>
      <w:r w:rsidRPr="00F916DD">
        <w:rPr>
          <w:szCs w:val="24"/>
          <w:lang w:val="en-US"/>
        </w:rPr>
        <w:tab/>
        <w:t xml:space="preserve"> </w:t>
      </w:r>
      <w:r w:rsidR="00264FEF">
        <w:rPr>
          <w:szCs w:val="24"/>
          <w:lang w:val="en-US"/>
        </w:rPr>
        <w:t>Remove the</w:t>
      </w:r>
      <w:r w:rsidR="003C5FCC">
        <w:rPr>
          <w:szCs w:val="24"/>
          <w:lang w:val="en-US"/>
        </w:rPr>
        <w:t xml:space="preserve"> requirement</w:t>
      </w:r>
      <w:r w:rsidR="00264FEF">
        <w:rPr>
          <w:szCs w:val="24"/>
          <w:lang w:val="en-US"/>
        </w:rPr>
        <w:t xml:space="preserve"> that the independent review of the scheme</w:t>
      </w:r>
      <w:r w:rsidR="003C5FCC">
        <w:rPr>
          <w:szCs w:val="24"/>
          <w:lang w:val="en-US"/>
        </w:rPr>
        <w:t xml:space="preserve"> is to</w:t>
      </w:r>
      <w:r w:rsidR="00264FEF">
        <w:rPr>
          <w:szCs w:val="24"/>
          <w:lang w:val="en-US"/>
        </w:rPr>
        <w:t xml:space="preserve"> be conducted with a stipulated commencement date for the specific purpose of making recommendations about the continuity of the scheme</w:t>
      </w:r>
      <w:r w:rsidR="003C5FCC">
        <w:rPr>
          <w:szCs w:val="24"/>
          <w:lang w:val="en-US"/>
        </w:rPr>
        <w:t>.</w:t>
      </w:r>
      <w:r w:rsidR="00264FEF">
        <w:rPr>
          <w:szCs w:val="24"/>
          <w:lang w:val="en-US"/>
        </w:rPr>
        <w:t xml:space="preserve"> </w:t>
      </w:r>
      <w:r w:rsidR="003C5FCC">
        <w:rPr>
          <w:szCs w:val="24"/>
          <w:lang w:val="en-US"/>
        </w:rPr>
        <w:t xml:space="preserve">Instead, </w:t>
      </w:r>
      <w:r w:rsidR="00EB5E42">
        <w:rPr>
          <w:szCs w:val="24"/>
          <w:lang w:val="en-US"/>
        </w:rPr>
        <w:t xml:space="preserve">set </w:t>
      </w:r>
      <w:r w:rsidR="003C5FCC">
        <w:rPr>
          <w:szCs w:val="24"/>
          <w:lang w:val="en-US"/>
        </w:rPr>
        <w:t xml:space="preserve">the </w:t>
      </w:r>
      <w:r w:rsidR="00264FEF">
        <w:rPr>
          <w:szCs w:val="24"/>
          <w:lang w:val="en-US"/>
        </w:rPr>
        <w:t>date by which the next review is to be completed and that later review completion dates are to be determined by the Minister</w:t>
      </w:r>
    </w:p>
    <w:p w:rsidR="006341A2" w:rsidRDefault="006341A2" w:rsidP="006341A2">
      <w:pPr>
        <w:pStyle w:val="DictionarySectionBreak"/>
        <w:spacing w:after="240"/>
        <w:rPr>
          <w:szCs w:val="24"/>
          <w:lang w:val="en-US"/>
        </w:rPr>
      </w:pPr>
      <w:r w:rsidRPr="00F916DD">
        <w:rPr>
          <w:szCs w:val="24"/>
          <w:lang w:val="en-US"/>
        </w:rPr>
        <w:t>•</w:t>
      </w:r>
      <w:r w:rsidRPr="00F916DD">
        <w:rPr>
          <w:szCs w:val="24"/>
          <w:lang w:val="en-US"/>
        </w:rPr>
        <w:tab/>
      </w:r>
      <w:r>
        <w:rPr>
          <w:szCs w:val="24"/>
          <w:lang w:val="en-US"/>
        </w:rPr>
        <w:t>Amend the definition of a grant year, which is currently up to 30 June 2016, so that the schem</w:t>
      </w:r>
      <w:r w:rsidR="003C5FCC">
        <w:rPr>
          <w:szCs w:val="24"/>
          <w:lang w:val="en-US"/>
        </w:rPr>
        <w:t>e can continue beyond that date.</w:t>
      </w:r>
    </w:p>
    <w:p w:rsidR="004E307A" w:rsidRPr="00F916DD" w:rsidRDefault="004E307A" w:rsidP="006341A2">
      <w:pPr>
        <w:pStyle w:val="DictionarySectionBreak"/>
        <w:spacing w:after="240"/>
        <w:rPr>
          <w:szCs w:val="24"/>
          <w:lang w:val="en-US"/>
        </w:rPr>
      </w:pPr>
      <w:r w:rsidRPr="003C5FCC">
        <w:rPr>
          <w:b/>
          <w:szCs w:val="24"/>
          <w:lang w:val="en-US"/>
        </w:rPr>
        <w:t>Schedule 2</w:t>
      </w:r>
      <w:r>
        <w:rPr>
          <w:szCs w:val="24"/>
          <w:lang w:val="en-US"/>
        </w:rPr>
        <w:t xml:space="preserve"> of this Bill amends the Australian Trade Commission Act 1985, changing the Commission’s name from the Australian Trade Commission to the Australian </w:t>
      </w:r>
      <w:r w:rsidR="003C5FCC">
        <w:rPr>
          <w:szCs w:val="24"/>
          <w:lang w:val="en-US"/>
        </w:rPr>
        <w:t xml:space="preserve">Trade and Investment Commission, and makes consequential changes to other Acts as a result of this change.  </w:t>
      </w:r>
    </w:p>
    <w:p w:rsidR="004E307A" w:rsidRDefault="004E307A" w:rsidP="004E307A">
      <w:r>
        <w:t xml:space="preserve">The purpose of Schedule 2 of this Bill is to better reflect both the agency’s significant role in promoting and attracting foreign investment and the priority the Government has placed on attracting foreign investment to secure Australia’s future prosperity.  </w:t>
      </w:r>
      <w:r>
        <w:br/>
      </w:r>
    </w:p>
    <w:p w:rsidR="004E307A" w:rsidRDefault="00AD3270" w:rsidP="004E307A">
      <w:r>
        <w:t>It is</w:t>
      </w:r>
      <w:r w:rsidR="004E307A">
        <w:t xml:space="preserve"> not propose</w:t>
      </w:r>
      <w:r>
        <w:t>d</w:t>
      </w:r>
      <w:r w:rsidR="004E307A">
        <w:t xml:space="preserve"> to change the corporate moniker ‘Austrade’ as this name and brand carries significant goodwill with business in Australia.  </w:t>
      </w:r>
    </w:p>
    <w:p w:rsidR="000453AA" w:rsidRDefault="004E307A" w:rsidP="00755365">
      <w:pPr>
        <w:pStyle w:val="DictionarySectionBreak"/>
        <w:spacing w:after="240"/>
        <w:rPr>
          <w:sz w:val="28"/>
          <w:szCs w:val="24"/>
          <w:lang w:val="en-US"/>
        </w:rPr>
      </w:pPr>
      <w:r>
        <w:rPr>
          <w:b/>
          <w:sz w:val="28"/>
          <w:szCs w:val="24"/>
          <w:lang w:val="en-US"/>
        </w:rPr>
        <w:br/>
      </w:r>
      <w:r w:rsidR="00722598" w:rsidRPr="00722598">
        <w:rPr>
          <w:b/>
          <w:sz w:val="28"/>
          <w:szCs w:val="24"/>
          <w:lang w:val="en-US"/>
        </w:rPr>
        <w:t>FINANCIAL IMPACT</w:t>
      </w:r>
    </w:p>
    <w:p w:rsidR="00722598" w:rsidRDefault="004E307A" w:rsidP="00755365">
      <w:pPr>
        <w:pStyle w:val="DictionarySectionBreak"/>
        <w:spacing w:after="240"/>
        <w:rPr>
          <w:szCs w:val="24"/>
          <w:lang w:val="en-US"/>
        </w:rPr>
      </w:pPr>
      <w:r>
        <w:rPr>
          <w:szCs w:val="24"/>
          <w:lang w:val="en-US"/>
        </w:rPr>
        <w:t xml:space="preserve">Schedule 1:  </w:t>
      </w:r>
      <w:r w:rsidR="00722598" w:rsidRPr="00722598">
        <w:rPr>
          <w:szCs w:val="24"/>
          <w:lang w:val="en-US"/>
        </w:rPr>
        <w:t xml:space="preserve">Expenditure under the </w:t>
      </w:r>
      <w:r w:rsidRPr="004E307A">
        <w:rPr>
          <w:i/>
          <w:szCs w:val="24"/>
          <w:lang w:val="en-US"/>
        </w:rPr>
        <w:t xml:space="preserve">Export Market Development Grants </w:t>
      </w:r>
      <w:r w:rsidR="00F916DD" w:rsidRPr="004E307A">
        <w:rPr>
          <w:i/>
          <w:szCs w:val="24"/>
          <w:lang w:val="en-US"/>
        </w:rPr>
        <w:t>A</w:t>
      </w:r>
      <w:r w:rsidR="00722598" w:rsidRPr="004E307A">
        <w:rPr>
          <w:i/>
          <w:szCs w:val="24"/>
          <w:lang w:val="en-US"/>
        </w:rPr>
        <w:t xml:space="preserve">ct </w:t>
      </w:r>
      <w:r w:rsidRPr="004E307A">
        <w:rPr>
          <w:i/>
          <w:szCs w:val="24"/>
          <w:lang w:val="en-US"/>
        </w:rPr>
        <w:t>1997</w:t>
      </w:r>
      <w:r>
        <w:rPr>
          <w:szCs w:val="24"/>
          <w:lang w:val="en-US"/>
        </w:rPr>
        <w:t xml:space="preserve"> </w:t>
      </w:r>
      <w:r w:rsidR="00722598" w:rsidRPr="00722598">
        <w:rPr>
          <w:szCs w:val="24"/>
          <w:lang w:val="en-US"/>
        </w:rPr>
        <w:t>is set throug</w:t>
      </w:r>
      <w:r w:rsidR="003903C1">
        <w:rPr>
          <w:szCs w:val="24"/>
          <w:lang w:val="en-US"/>
        </w:rPr>
        <w:t>h annual Appropriation A</w:t>
      </w:r>
      <w:r w:rsidR="00722598" w:rsidRPr="00722598">
        <w:rPr>
          <w:szCs w:val="24"/>
          <w:lang w:val="en-US"/>
        </w:rPr>
        <w:t>cts. A capping mechanism ensures that expenditure under the scheme is limited to the amount appropriated.</w:t>
      </w:r>
    </w:p>
    <w:p w:rsidR="004E307A" w:rsidRPr="00722598" w:rsidRDefault="004E307A" w:rsidP="00755365">
      <w:pPr>
        <w:pStyle w:val="DictionarySectionBreak"/>
        <w:spacing w:after="240"/>
        <w:rPr>
          <w:szCs w:val="24"/>
          <w:lang w:val="en-US"/>
        </w:rPr>
      </w:pPr>
      <w:r>
        <w:rPr>
          <w:szCs w:val="24"/>
          <w:lang w:val="en-US"/>
        </w:rPr>
        <w:t xml:space="preserve">Schedule 2:  The changes to the </w:t>
      </w:r>
      <w:r w:rsidRPr="004E307A">
        <w:rPr>
          <w:i/>
          <w:szCs w:val="24"/>
          <w:lang w:val="en-US"/>
        </w:rPr>
        <w:t>Australian Trade Commission Act 1985</w:t>
      </w:r>
      <w:r>
        <w:rPr>
          <w:szCs w:val="24"/>
          <w:lang w:val="en-US"/>
        </w:rPr>
        <w:t xml:space="preserve"> have negligible financial impact.  They are limited to rebranding stationery, official documents and events, the great majority of which can be changed on line.  </w:t>
      </w:r>
      <w:r>
        <w:rPr>
          <w:szCs w:val="24"/>
          <w:lang w:val="en-US"/>
        </w:rPr>
        <w:br/>
      </w:r>
    </w:p>
    <w:p w:rsidR="00722598" w:rsidRDefault="00F916DD" w:rsidP="00E66E3E">
      <w:pPr>
        <w:pStyle w:val="Heading1"/>
        <w:spacing w:after="240"/>
        <w:rPr>
          <w:rFonts w:ascii="Times New Roman" w:hAnsi="Times New Roman"/>
        </w:rPr>
      </w:pPr>
      <w:bookmarkStart w:id="2" w:name="_Toc130635462"/>
      <w:r>
        <w:rPr>
          <w:rFonts w:ascii="Times New Roman" w:hAnsi="Times New Roman"/>
        </w:rPr>
        <w:t>STATEMENT OF COMPATIBILITY WITH HUMAN RIGHTS</w:t>
      </w:r>
    </w:p>
    <w:p w:rsidR="003903C1" w:rsidRPr="003903C1" w:rsidRDefault="00B5427F" w:rsidP="003903C1">
      <w:pPr>
        <w:spacing w:after="200" w:line="276" w:lineRule="auto"/>
        <w:rPr>
          <w:rFonts w:eastAsia="Calibri"/>
          <w:szCs w:val="24"/>
        </w:rPr>
      </w:pPr>
      <w:r>
        <w:rPr>
          <w:rFonts w:eastAsia="Calibri"/>
          <w:szCs w:val="24"/>
        </w:rPr>
        <w:t xml:space="preserve">The </w:t>
      </w:r>
      <w:r w:rsidR="00AD3270">
        <w:rPr>
          <w:rFonts w:eastAsia="Calibri"/>
          <w:szCs w:val="24"/>
        </w:rPr>
        <w:t>Bill</w:t>
      </w:r>
      <w:r>
        <w:rPr>
          <w:rFonts w:eastAsia="Calibri"/>
          <w:szCs w:val="24"/>
        </w:rPr>
        <w:t xml:space="preserve"> does not raise any human rights issues and</w:t>
      </w:r>
      <w:r w:rsidR="00F916DD">
        <w:rPr>
          <w:rFonts w:eastAsia="Calibri"/>
          <w:szCs w:val="24"/>
        </w:rPr>
        <w:t xml:space="preserve"> </w:t>
      </w:r>
      <w:r w:rsidR="00F916DD" w:rsidRPr="00F916DD">
        <w:rPr>
          <w:rFonts w:eastAsia="Calibri"/>
          <w:szCs w:val="24"/>
        </w:rPr>
        <w:t xml:space="preserve">is compatible with the human rights and freedoms recognised or declared in the international instruments listed in section 3 of the </w:t>
      </w:r>
      <w:r w:rsidR="00F916DD" w:rsidRPr="00F916DD">
        <w:rPr>
          <w:rFonts w:eastAsia="Calibri"/>
          <w:i/>
          <w:szCs w:val="24"/>
        </w:rPr>
        <w:t>Human Rights (Parliamentary Scrutiny) Act 2011</w:t>
      </w:r>
      <w:r w:rsidR="00F916DD" w:rsidRPr="00F916DD">
        <w:rPr>
          <w:rFonts w:eastAsia="Calibri"/>
          <w:szCs w:val="24"/>
        </w:rPr>
        <w:t xml:space="preserve">. </w:t>
      </w:r>
    </w:p>
    <w:p w:rsidR="00E66E3E" w:rsidRPr="00792D59" w:rsidRDefault="008847D1" w:rsidP="00792D59">
      <w:pPr>
        <w:pStyle w:val="Heading5"/>
        <w:spacing w:after="240"/>
        <w:jc w:val="left"/>
        <w:rPr>
          <w:sz w:val="28"/>
        </w:rPr>
      </w:pPr>
      <w:r>
        <w:br w:type="page"/>
      </w:r>
      <w:bookmarkEnd w:id="2"/>
      <w:r w:rsidR="00792D59" w:rsidRPr="00266A33">
        <w:rPr>
          <w:sz w:val="28"/>
          <w:szCs w:val="28"/>
        </w:rPr>
        <w:t>TRADE LEGISLATION AMENDMENT BILL (NO. 1) 2016</w:t>
      </w:r>
    </w:p>
    <w:p w:rsidR="00E66E3E" w:rsidRPr="000D2B70" w:rsidRDefault="00E66E3E" w:rsidP="00E66E3E">
      <w:pPr>
        <w:spacing w:after="240"/>
      </w:pPr>
      <w:r w:rsidRPr="000D2B70">
        <w:rPr>
          <w:b/>
        </w:rPr>
        <w:t>ABBREVIATIONS</w:t>
      </w:r>
    </w:p>
    <w:p w:rsidR="00E66E3E" w:rsidRPr="00FB72D7" w:rsidRDefault="00E66E3E" w:rsidP="00E66E3E">
      <w:pPr>
        <w:spacing w:after="240"/>
        <w:rPr>
          <w:i/>
        </w:rPr>
      </w:pPr>
      <w:proofErr w:type="spellStart"/>
      <w:r w:rsidRPr="00FB72D7">
        <w:t>EMDG</w:t>
      </w:r>
      <w:proofErr w:type="spellEnd"/>
      <w:r w:rsidRPr="00FB72D7">
        <w:t xml:space="preserve"> Act</w:t>
      </w:r>
      <w:r w:rsidRPr="00FB72D7">
        <w:tab/>
      </w:r>
      <w:r w:rsidRPr="00FB72D7">
        <w:tab/>
      </w:r>
      <w:r w:rsidRPr="00FB72D7">
        <w:rPr>
          <w:i/>
        </w:rPr>
        <w:t>Export Market Development Grants Act 1997</w:t>
      </w:r>
    </w:p>
    <w:p w:rsidR="00E66E3E" w:rsidRDefault="00E66E3E" w:rsidP="00E66E3E">
      <w:pPr>
        <w:spacing w:before="120" w:after="240"/>
      </w:pPr>
      <w:r>
        <w:t>g</w:t>
      </w:r>
      <w:r w:rsidRPr="00FB72D7">
        <w:t>rant year</w:t>
      </w:r>
      <w:r w:rsidRPr="00FB72D7">
        <w:tab/>
      </w:r>
      <w:r w:rsidRPr="00FB72D7">
        <w:tab/>
      </w:r>
      <w:r>
        <w:t>The year in which e</w:t>
      </w:r>
      <w:r w:rsidR="00515C4A">
        <w:t>xpenses are incurred by a grant</w:t>
      </w:r>
      <w:r>
        <w:t xml:space="preserve"> applicant</w:t>
      </w:r>
    </w:p>
    <w:p w:rsidR="00E66E3E" w:rsidRDefault="00E66E3E" w:rsidP="00E66E3E">
      <w:pPr>
        <w:spacing w:before="120" w:after="240"/>
      </w:pPr>
      <w:r>
        <w:t>Austrade</w:t>
      </w:r>
      <w:r>
        <w:tab/>
      </w:r>
      <w:r>
        <w:tab/>
        <w:t>Australian Trade Commission</w:t>
      </w:r>
    </w:p>
    <w:p w:rsidR="000D04D9" w:rsidRDefault="000D04D9" w:rsidP="00E66E3E">
      <w:pPr>
        <w:spacing w:before="120" w:after="240"/>
      </w:pPr>
      <w:r>
        <w:t>Austrade Act</w:t>
      </w:r>
      <w:r>
        <w:tab/>
      </w:r>
      <w:r>
        <w:tab/>
      </w:r>
      <w:r w:rsidRPr="000D04D9">
        <w:rPr>
          <w:i/>
        </w:rPr>
        <w:t>Australian Trade Commission Act 1985</w:t>
      </w:r>
    </w:p>
    <w:p w:rsidR="00E66E3E" w:rsidRPr="00FB72D7" w:rsidRDefault="00E66E3E" w:rsidP="00E66E3E">
      <w:pPr>
        <w:spacing w:before="120" w:after="240"/>
        <w:ind w:left="2160" w:hanging="2160"/>
      </w:pPr>
      <w:r>
        <w:t>the scheme</w:t>
      </w:r>
      <w:r>
        <w:tab/>
        <w:t xml:space="preserve">The scheme of financial assistance to exporters covered by the </w:t>
      </w:r>
      <w:r>
        <w:rPr>
          <w:i/>
        </w:rPr>
        <w:t>Export Market Development Grants Act 1997</w:t>
      </w:r>
    </w:p>
    <w:p w:rsidR="00E66E3E" w:rsidRPr="000D2B70" w:rsidRDefault="00E66E3E" w:rsidP="00E66E3E">
      <w:pPr>
        <w:pStyle w:val="Heading6"/>
        <w:spacing w:after="240"/>
        <w:ind w:left="0"/>
        <w:rPr>
          <w:u w:val="none"/>
        </w:rPr>
      </w:pPr>
      <w:r w:rsidRPr="000D2B70">
        <w:rPr>
          <w:u w:val="none"/>
        </w:rPr>
        <w:t>NOTES ON CLAUSES</w:t>
      </w:r>
      <w:r w:rsidR="003903C1">
        <w:rPr>
          <w:u w:val="none"/>
        </w:rPr>
        <w:t xml:space="preserve"> </w:t>
      </w:r>
    </w:p>
    <w:p w:rsidR="00E66E3E" w:rsidRPr="00792D59" w:rsidRDefault="00E66E3E" w:rsidP="00792D59">
      <w:pPr>
        <w:pStyle w:val="Heading5"/>
        <w:spacing w:after="240"/>
        <w:jc w:val="left"/>
        <w:rPr>
          <w:b w:val="0"/>
          <w:sz w:val="24"/>
          <w:szCs w:val="24"/>
        </w:rPr>
      </w:pPr>
      <w:r w:rsidRPr="00792D59">
        <w:rPr>
          <w:b w:val="0"/>
          <w:sz w:val="24"/>
          <w:szCs w:val="24"/>
          <w:u w:val="single"/>
        </w:rPr>
        <w:t>Clause 1</w:t>
      </w:r>
      <w:r w:rsidRPr="00792D59">
        <w:rPr>
          <w:b w:val="0"/>
          <w:sz w:val="24"/>
          <w:szCs w:val="24"/>
        </w:rPr>
        <w:tab/>
      </w:r>
      <w:r w:rsidR="00792D59">
        <w:rPr>
          <w:b w:val="0"/>
          <w:sz w:val="24"/>
          <w:szCs w:val="24"/>
        </w:rPr>
        <w:tab/>
      </w:r>
      <w:r w:rsidRPr="00792D59">
        <w:rPr>
          <w:b w:val="0"/>
          <w:sz w:val="24"/>
          <w:szCs w:val="24"/>
        </w:rPr>
        <w:t xml:space="preserve">This Act may be cited as the </w:t>
      </w:r>
      <w:r w:rsidR="00792D59" w:rsidRPr="00792D59">
        <w:rPr>
          <w:b w:val="0"/>
          <w:i/>
          <w:sz w:val="24"/>
          <w:szCs w:val="24"/>
        </w:rPr>
        <w:t xml:space="preserve">Trade Legislation Amendment </w:t>
      </w:r>
      <w:r w:rsidR="00792D59">
        <w:rPr>
          <w:b w:val="0"/>
          <w:i/>
          <w:sz w:val="24"/>
          <w:szCs w:val="24"/>
        </w:rPr>
        <w:t>Act</w:t>
      </w:r>
      <w:r w:rsidR="00792D59" w:rsidRPr="00792D59">
        <w:rPr>
          <w:b w:val="0"/>
          <w:i/>
          <w:sz w:val="24"/>
          <w:szCs w:val="24"/>
        </w:rPr>
        <w:t xml:space="preserve"> (No. 1) 2016</w:t>
      </w:r>
    </w:p>
    <w:p w:rsidR="00E66E3E" w:rsidRDefault="00E66E3E" w:rsidP="00E66E3E">
      <w:pPr>
        <w:spacing w:after="240"/>
        <w:ind w:left="1418" w:hanging="1418"/>
      </w:pPr>
      <w:r>
        <w:rPr>
          <w:u w:val="single"/>
        </w:rPr>
        <w:t>Clause 2</w:t>
      </w:r>
      <w:r>
        <w:tab/>
      </w:r>
      <w:r w:rsidR="0053324C">
        <w:t>Sections 1 to 3 of t</w:t>
      </w:r>
      <w:r w:rsidR="00AB4C63">
        <w:t>his</w:t>
      </w:r>
      <w:r w:rsidR="0053324C">
        <w:t xml:space="preserve"> Act commence</w:t>
      </w:r>
      <w:r>
        <w:t xml:space="preserve"> on the day on which it receives Royal Assent. </w:t>
      </w:r>
      <w:r w:rsidR="003C5FCC">
        <w:br/>
      </w:r>
      <w:r w:rsidR="003C5FCC">
        <w:br/>
      </w:r>
      <w:r w:rsidR="0053324C">
        <w:t>Schedule 1 of this Act commences on 1 July 2016.</w:t>
      </w:r>
      <w:r w:rsidR="003C5FCC">
        <w:br/>
      </w:r>
      <w:r w:rsidR="003C5FCC">
        <w:br/>
        <w:t xml:space="preserve">Schedule 2 of this Act commences on a single day to be fixed by Proclamation.  </w:t>
      </w:r>
      <w:r w:rsidR="003C5FCC" w:rsidRPr="00D42B6D">
        <w:t>I</w:t>
      </w:r>
      <w:r w:rsidR="00D42B6D">
        <w:t>f</w:t>
      </w:r>
      <w:r w:rsidR="003C5FCC" w:rsidRPr="00D42B6D">
        <w:t xml:space="preserve"> the provisions do not commence within the period of six months beginning on the day this Act receives</w:t>
      </w:r>
      <w:r w:rsidR="00416CE7" w:rsidRPr="00D42B6D">
        <w:t xml:space="preserve"> </w:t>
      </w:r>
      <w:r w:rsidR="00832F8E" w:rsidRPr="00D42B6D">
        <w:t xml:space="preserve">the </w:t>
      </w:r>
      <w:r w:rsidR="00416CE7" w:rsidRPr="00D42B6D">
        <w:t>Royal Assent</w:t>
      </w:r>
      <w:r w:rsidR="00AD3270" w:rsidRPr="00D42B6D">
        <w:t>, they commence on the day after the end of that period.</w:t>
      </w:r>
    </w:p>
    <w:p w:rsidR="00E66E3E" w:rsidRDefault="00E66E3E" w:rsidP="00E66E3E">
      <w:pPr>
        <w:spacing w:after="240"/>
        <w:ind w:left="1418" w:hanging="1418"/>
        <w:rPr>
          <w:i/>
          <w:iCs/>
        </w:rPr>
      </w:pPr>
      <w:r>
        <w:rPr>
          <w:u w:val="single"/>
        </w:rPr>
        <w:t>Clause 3</w:t>
      </w:r>
      <w:r>
        <w:tab/>
        <w:t xml:space="preserve">There </w:t>
      </w:r>
      <w:r w:rsidR="00AB4C63">
        <w:t xml:space="preserve">is one Schedule </w:t>
      </w:r>
      <w:r>
        <w:t xml:space="preserve">amending the </w:t>
      </w:r>
      <w:r>
        <w:rPr>
          <w:i/>
          <w:iCs/>
        </w:rPr>
        <w:t>Export Market Development Grants Act 1997.</w:t>
      </w:r>
    </w:p>
    <w:p w:rsidR="00792D59" w:rsidRPr="00792D59" w:rsidRDefault="00792D59" w:rsidP="00E66E3E">
      <w:pPr>
        <w:spacing w:after="240"/>
        <w:ind w:left="1418" w:hanging="1418"/>
        <w:rPr>
          <w:iCs/>
        </w:rPr>
      </w:pPr>
      <w:r>
        <w:tab/>
      </w:r>
      <w:r w:rsidR="00DF6CE9">
        <w:t xml:space="preserve">There is a </w:t>
      </w:r>
      <w:r w:rsidR="004E307A">
        <w:t xml:space="preserve">second Schedule amending </w:t>
      </w:r>
      <w:r w:rsidR="004E307A" w:rsidRPr="004E307A">
        <w:rPr>
          <w:i/>
        </w:rPr>
        <w:t>the Australian Trade Commission Act 1985</w:t>
      </w:r>
      <w:r w:rsidR="004E307A">
        <w:t>.</w:t>
      </w:r>
    </w:p>
    <w:p w:rsidR="00E66E3E" w:rsidRPr="000D2B70" w:rsidRDefault="00E66E3E" w:rsidP="00E66E3E">
      <w:pPr>
        <w:spacing w:after="240"/>
        <w:ind w:left="1418" w:hanging="1418"/>
        <w:rPr>
          <w:b/>
          <w:bCs/>
          <w:i/>
          <w:iCs/>
        </w:rPr>
      </w:pPr>
      <w:r w:rsidRPr="000D2B70">
        <w:rPr>
          <w:b/>
          <w:bCs/>
        </w:rPr>
        <w:t xml:space="preserve">SCHEDULE 1—Amendment of the </w:t>
      </w:r>
      <w:r w:rsidRPr="000D2B70">
        <w:rPr>
          <w:b/>
          <w:bCs/>
          <w:i/>
          <w:iCs/>
        </w:rPr>
        <w:t>Export Market Development Grants Act 1997</w:t>
      </w:r>
    </w:p>
    <w:p w:rsidR="00F7450D" w:rsidRDefault="00F7450D" w:rsidP="00F7450D">
      <w:r w:rsidRPr="002E3D9D">
        <w:rPr>
          <w:b/>
        </w:rPr>
        <w:t>Item</w:t>
      </w:r>
      <w:r w:rsidR="00F42F03" w:rsidRPr="002E3D9D">
        <w:rPr>
          <w:b/>
        </w:rPr>
        <w:t>s</w:t>
      </w:r>
      <w:r w:rsidRPr="002E3D9D">
        <w:rPr>
          <w:b/>
        </w:rPr>
        <w:t xml:space="preserve"> </w:t>
      </w:r>
      <w:r w:rsidR="00DD7BB4" w:rsidRPr="002E3D9D">
        <w:rPr>
          <w:b/>
        </w:rPr>
        <w:t xml:space="preserve">1, </w:t>
      </w:r>
      <w:r w:rsidR="0022120A" w:rsidRPr="002E3D9D">
        <w:rPr>
          <w:b/>
        </w:rPr>
        <w:t>9, 10</w:t>
      </w:r>
      <w:r w:rsidR="00DD7BB4" w:rsidRPr="002E3D9D">
        <w:rPr>
          <w:b/>
        </w:rPr>
        <w:t>, 1</w:t>
      </w:r>
      <w:r w:rsidR="0022120A" w:rsidRPr="002E3D9D">
        <w:rPr>
          <w:b/>
        </w:rPr>
        <w:t>1</w:t>
      </w:r>
    </w:p>
    <w:p w:rsidR="00F7450D" w:rsidRDefault="00F7450D" w:rsidP="00F7450D"/>
    <w:p w:rsidR="00F7450D" w:rsidRDefault="00F7450D" w:rsidP="00F7450D">
      <w:r w:rsidRPr="00AB7897">
        <w:t xml:space="preserve">Section 33 of the </w:t>
      </w:r>
      <w:proofErr w:type="spellStart"/>
      <w:r>
        <w:t>EMDG</w:t>
      </w:r>
      <w:proofErr w:type="spellEnd"/>
      <w:r>
        <w:t xml:space="preserve"> </w:t>
      </w:r>
      <w:r w:rsidRPr="00AB7897">
        <w:t>Act details claimable expenses in respect of eligible promotional activities.  One category of eligible expenditure is any communications by the applicant or its agent with a potential buyer or a distributor, representative or consultant to the extent to which the communication is made for an</w:t>
      </w:r>
      <w:r>
        <w:t xml:space="preserve"> approved promotional purpose.  </w:t>
      </w:r>
    </w:p>
    <w:p w:rsidR="00F7450D" w:rsidRDefault="00F7450D" w:rsidP="00F7450D"/>
    <w:p w:rsidR="00F7450D" w:rsidRDefault="00F7450D" w:rsidP="00F7450D">
      <w:r>
        <w:t>The use of information technology as a communications tool has grown in prominence and as a result the cost of communications has changed, to the extent that the automatic three percent addition to a claim is no longer reflective of the act</w:t>
      </w:r>
      <w:r w:rsidR="00F42F03">
        <w:t>ual cost of communication.  The</w:t>
      </w:r>
      <w:r>
        <w:t xml:space="preserve"> amendment</w:t>
      </w:r>
      <w:r w:rsidR="002E3D9D">
        <w:t xml:space="preserve">s under items 1, 9, 10 and 11 </w:t>
      </w:r>
      <w:r w:rsidR="00F42F03">
        <w:t>remove</w:t>
      </w:r>
      <w:r>
        <w:t xml:space="preserve"> communications as an eligible expenditure category under the </w:t>
      </w:r>
      <w:proofErr w:type="spellStart"/>
      <w:r>
        <w:t>EMDG</w:t>
      </w:r>
      <w:proofErr w:type="spellEnd"/>
      <w:r>
        <w:t xml:space="preserve"> Act</w:t>
      </w:r>
      <w:r w:rsidR="00544724">
        <w:t xml:space="preserve">.  </w:t>
      </w:r>
      <w:r w:rsidR="002E3D9D">
        <w:t>This is</w:t>
      </w:r>
      <w:r>
        <w:t xml:space="preserve"> a cost-saving measure.  </w:t>
      </w:r>
    </w:p>
    <w:p w:rsidR="00F7450D" w:rsidRDefault="00F7450D" w:rsidP="00F7450D"/>
    <w:p w:rsidR="00DD7BB4" w:rsidRDefault="00DD7BB4" w:rsidP="00F7450D">
      <w:r w:rsidRPr="00B34F76">
        <w:rPr>
          <w:b/>
        </w:rPr>
        <w:t>Item</w:t>
      </w:r>
      <w:r w:rsidR="007D272B">
        <w:rPr>
          <w:b/>
        </w:rPr>
        <w:t>s</w:t>
      </w:r>
      <w:r w:rsidRPr="00B34F76">
        <w:rPr>
          <w:b/>
        </w:rPr>
        <w:t xml:space="preserve"> </w:t>
      </w:r>
      <w:r w:rsidR="00305302" w:rsidRPr="00B34F76">
        <w:rPr>
          <w:b/>
        </w:rPr>
        <w:t>2, 4 and 15</w:t>
      </w:r>
    </w:p>
    <w:p w:rsidR="00F7450D" w:rsidRDefault="00F7450D" w:rsidP="00F7450D"/>
    <w:p w:rsidR="00F7450D" w:rsidRDefault="00F7450D" w:rsidP="00F7450D">
      <w:r>
        <w:t xml:space="preserve">Section 33 of the </w:t>
      </w:r>
      <w:proofErr w:type="spellStart"/>
      <w:r>
        <w:t>EMDG</w:t>
      </w:r>
      <w:proofErr w:type="spellEnd"/>
      <w:r>
        <w:t xml:space="preserve"> Act provides that the provision, primarily for an approved promotional purpose, of free samples to a person who is not a resident of Australia is eligible expenditure.  All reasonable expenses incurred by the application that are attributable to the actual cost of providing the samples are permitted.  There is currently no cap on the maximum value of free samples, and as a result some free samples claimed have a </w:t>
      </w:r>
      <w:r w:rsidR="002E3D9D">
        <w:t xml:space="preserve">very </w:t>
      </w:r>
      <w:r>
        <w:t xml:space="preserve">high value.   </w:t>
      </w:r>
    </w:p>
    <w:p w:rsidR="00F7450D" w:rsidRDefault="00F7450D" w:rsidP="00F7450D"/>
    <w:p w:rsidR="00F7450D" w:rsidRDefault="00F7450D" w:rsidP="00F7450D">
      <w:r w:rsidRPr="0074481D">
        <w:t xml:space="preserve">This </w:t>
      </w:r>
      <w:r>
        <w:t>amendment to the Act</w:t>
      </w:r>
      <w:r w:rsidRPr="0074481D">
        <w:t xml:space="preserve"> place</w:t>
      </w:r>
      <w:r>
        <w:t>s</w:t>
      </w:r>
      <w:r w:rsidRPr="0074481D">
        <w:t xml:space="preserve"> a cap</w:t>
      </w:r>
      <w:r>
        <w:t xml:space="preserve"> of $15,000 on the total value of all free samples </w:t>
      </w:r>
      <w:r w:rsidR="002E3D9D">
        <w:t>in any one claim</w:t>
      </w:r>
      <w:r>
        <w:t>, and is a cost-saving measure.</w:t>
      </w:r>
      <w:r w:rsidRPr="0074481D">
        <w:t xml:space="preserve">  </w:t>
      </w:r>
    </w:p>
    <w:p w:rsidR="004E307A" w:rsidRDefault="004E307A" w:rsidP="00F7450D"/>
    <w:p w:rsidR="004E307A" w:rsidRDefault="004E307A" w:rsidP="00F7450D">
      <w:r>
        <w:t>This provision of the Act has been drafted so that a cap is not imposed on businesses that</w:t>
      </w:r>
      <w:r w:rsidR="002E3D9D">
        <w:t>:</w:t>
      </w:r>
      <w:r>
        <w:t xml:space="preserve"> were not a g</w:t>
      </w:r>
      <w:r w:rsidR="002E3D9D">
        <w:t>rantee in a previous grant year;</w:t>
      </w:r>
      <w:r>
        <w:t xml:space="preserve"> and the preceding financial year commenced on </w:t>
      </w:r>
      <w:r w:rsidR="002E3D9D">
        <w:br/>
      </w:r>
      <w:r>
        <w:t>1 July 2015 (</w:t>
      </w:r>
      <w:proofErr w:type="spellStart"/>
      <w:r>
        <w:t>ie</w:t>
      </w:r>
      <w:proofErr w:type="spellEnd"/>
      <w:r>
        <w:t xml:space="preserve"> they had incurred eligible expenditure at a time when they did not know that a cap w</w:t>
      </w:r>
      <w:r w:rsidR="00832F8E">
        <w:t>ould be</w:t>
      </w:r>
      <w:r>
        <w:t xml:space="preserve"> in place</w:t>
      </w:r>
      <w:r w:rsidR="002E3D9D">
        <w:t>)</w:t>
      </w:r>
      <w:r>
        <w:t xml:space="preserve">.  </w:t>
      </w:r>
    </w:p>
    <w:p w:rsidR="00F7450D" w:rsidRDefault="00F7450D" w:rsidP="00F7450D"/>
    <w:p w:rsidR="009C4E4F" w:rsidRDefault="009C4E4F" w:rsidP="009C4E4F">
      <w:r w:rsidRPr="00B34F76">
        <w:rPr>
          <w:b/>
        </w:rPr>
        <w:t xml:space="preserve">Item </w:t>
      </w:r>
      <w:r w:rsidR="00305302" w:rsidRPr="00B34F76">
        <w:rPr>
          <w:b/>
        </w:rPr>
        <w:t>3</w:t>
      </w:r>
    </w:p>
    <w:p w:rsidR="009C4E4F" w:rsidRDefault="009C4E4F" w:rsidP="009C4E4F"/>
    <w:p w:rsidR="004E307A" w:rsidRDefault="009C4E4F" w:rsidP="009C4E4F">
      <w:r>
        <w:t xml:space="preserve">While website expenses have always been eligible expenditure under the category </w:t>
      </w:r>
      <w:r>
        <w:rPr>
          <w:szCs w:val="24"/>
          <w:lang w:val="en-US"/>
        </w:rPr>
        <w:t>“Promotional literature and advertising”</w:t>
      </w:r>
      <w:r>
        <w:t xml:space="preserve"> (see subsection 33(2)</w:t>
      </w:r>
      <w:r w:rsidR="00095629">
        <w:t xml:space="preserve"> </w:t>
      </w:r>
      <w:r>
        <w:t>(item 6)) this</w:t>
      </w:r>
      <w:r>
        <w:rPr>
          <w:szCs w:val="24"/>
          <w:lang w:val="en-US"/>
        </w:rPr>
        <w:t xml:space="preserve"> </w:t>
      </w:r>
      <w:r>
        <w:t xml:space="preserve">category does not make this inclusion </w:t>
      </w:r>
      <w:r w:rsidRPr="007B4D44">
        <w:t xml:space="preserve">apparent. </w:t>
      </w:r>
    </w:p>
    <w:p w:rsidR="004E307A" w:rsidRDefault="004E307A" w:rsidP="009C4E4F"/>
    <w:p w:rsidR="009C4E4F" w:rsidRDefault="00095629" w:rsidP="009C4E4F">
      <w:r>
        <w:t>This</w:t>
      </w:r>
      <w:r w:rsidR="009C4E4F" w:rsidRPr="007B4D44">
        <w:t xml:space="preserve"> </w:t>
      </w:r>
      <w:r w:rsidR="009C4E4F" w:rsidRPr="00441D88">
        <w:t xml:space="preserve">item </w:t>
      </w:r>
      <w:r w:rsidR="00441D88" w:rsidRPr="00441D88">
        <w:t xml:space="preserve">adds </w:t>
      </w:r>
      <w:r>
        <w:t>the words, “(whether the literature or material is in electronic form or any other form).”</w:t>
      </w:r>
      <w:r w:rsidR="00441D88" w:rsidRPr="00441D88">
        <w:t xml:space="preserve"> </w:t>
      </w:r>
      <w:r w:rsidR="009C4E4F">
        <w:br/>
      </w:r>
    </w:p>
    <w:p w:rsidR="00742DF1" w:rsidRDefault="0022120A" w:rsidP="00742DF1">
      <w:r>
        <w:rPr>
          <w:b/>
        </w:rPr>
        <w:t>Items 5</w:t>
      </w:r>
      <w:r w:rsidR="00742DF1">
        <w:rPr>
          <w:b/>
        </w:rPr>
        <w:t xml:space="preserve"> and </w:t>
      </w:r>
      <w:r>
        <w:rPr>
          <w:b/>
        </w:rPr>
        <w:t>6</w:t>
      </w:r>
    </w:p>
    <w:p w:rsidR="00742DF1" w:rsidRDefault="00742DF1" w:rsidP="00742DF1"/>
    <w:p w:rsidR="00742DF1" w:rsidRDefault="00742DF1" w:rsidP="00742DF1">
      <w:r w:rsidRPr="0059367B">
        <w:t xml:space="preserve">Section 34 of the </w:t>
      </w:r>
      <w:proofErr w:type="spellStart"/>
      <w:r>
        <w:t>EMDG</w:t>
      </w:r>
      <w:proofErr w:type="spellEnd"/>
      <w:r>
        <w:t xml:space="preserve"> </w:t>
      </w:r>
      <w:r w:rsidRPr="0059367B">
        <w:t xml:space="preserve">Act deals with expenses relating to a marketing visit.  </w:t>
      </w:r>
      <w:r>
        <w:t xml:space="preserve">Where the visit is made to a place outside of Australia, the Act provides for $300 per day contribution for each working day during the visit (up to 21 days) that was primarily devoted to furthering the approved promotional purpose for which the visit was made.  Applicants are also permitted to claim ground transport expenses.  However, the applicant must substantiate these expenses and provide details in the application schedules. </w:t>
      </w:r>
    </w:p>
    <w:p w:rsidR="00742DF1" w:rsidRDefault="00742DF1" w:rsidP="00742DF1"/>
    <w:p w:rsidR="004E307A" w:rsidRDefault="00742DF1" w:rsidP="00742DF1">
      <w:r>
        <w:t>This amendment repeals the subsection relating spec</w:t>
      </w:r>
      <w:r w:rsidR="004E307A">
        <w:t>ifically to</w:t>
      </w:r>
      <w:r w:rsidR="00D42B6D">
        <w:t xml:space="preserve"> ground transport expenses </w:t>
      </w:r>
      <w:r>
        <w:t xml:space="preserve">(item </w:t>
      </w:r>
      <w:r w:rsidR="0097454E">
        <w:t>5</w:t>
      </w:r>
      <w:r>
        <w:t xml:space="preserve">), and increases the daily allowance for overseas visits by $50 per day to $350 </w:t>
      </w:r>
      <w:r w:rsidR="002E3D9D">
        <w:t xml:space="preserve">making some provision for </w:t>
      </w:r>
      <w:r>
        <w:t xml:space="preserve">ground transport expenses, which were previously treated as a separate eligible expenditure category, (item </w:t>
      </w:r>
      <w:r w:rsidR="0097454E">
        <w:t>6</w:t>
      </w:r>
      <w:r>
        <w:t xml:space="preserve">). </w:t>
      </w:r>
    </w:p>
    <w:p w:rsidR="004E307A" w:rsidRDefault="004E307A" w:rsidP="00742DF1"/>
    <w:p w:rsidR="00742DF1" w:rsidRDefault="00742DF1" w:rsidP="00742DF1">
      <w:r>
        <w:t xml:space="preserve">As a result, this amendment is a cost-saving measure.  </w:t>
      </w:r>
      <w:r w:rsidR="002E3D9D">
        <w:t xml:space="preserve">This </w:t>
      </w:r>
      <w:r w:rsidR="00832F8E">
        <w:t xml:space="preserve">change </w:t>
      </w:r>
      <w:r w:rsidR="002E3D9D">
        <w:t xml:space="preserve">also reduces the red tape burden on applicants, who are no longer required to </w:t>
      </w:r>
      <w:r w:rsidR="00832F8E">
        <w:t>itemi</w:t>
      </w:r>
      <w:r w:rsidR="00D42B6D">
        <w:t>s</w:t>
      </w:r>
      <w:r w:rsidR="00832F8E">
        <w:t xml:space="preserve">e and retain records or </w:t>
      </w:r>
      <w:r w:rsidR="002E3D9D">
        <w:t>complete lengthy schedules relating to ground transport costs (such as taxi and bus trips)</w:t>
      </w:r>
      <w:r w:rsidR="00B34F76">
        <w:t>.</w:t>
      </w:r>
    </w:p>
    <w:p w:rsidR="00E95900" w:rsidRDefault="00E95900" w:rsidP="00742DF1">
      <w:pPr>
        <w:rPr>
          <w:b/>
        </w:rPr>
      </w:pPr>
    </w:p>
    <w:p w:rsidR="00742DF1" w:rsidRDefault="0022120A" w:rsidP="00742DF1">
      <w:r>
        <w:rPr>
          <w:b/>
        </w:rPr>
        <w:t>Item</w:t>
      </w:r>
      <w:r w:rsidR="007D272B">
        <w:rPr>
          <w:b/>
        </w:rPr>
        <w:t>s</w:t>
      </w:r>
      <w:r>
        <w:rPr>
          <w:b/>
        </w:rPr>
        <w:t xml:space="preserve"> 7</w:t>
      </w:r>
      <w:r w:rsidR="00592999">
        <w:rPr>
          <w:b/>
        </w:rPr>
        <w:t xml:space="preserve"> and </w:t>
      </w:r>
      <w:r>
        <w:rPr>
          <w:b/>
        </w:rPr>
        <w:t>8</w:t>
      </w:r>
    </w:p>
    <w:p w:rsidR="00742DF1" w:rsidRDefault="00742DF1" w:rsidP="00742DF1"/>
    <w:p w:rsidR="002E3D9D" w:rsidRDefault="0022120A" w:rsidP="0022120A">
      <w:pPr>
        <w:pStyle w:val="CommentText"/>
        <w:rPr>
          <w:sz w:val="24"/>
          <w:szCs w:val="24"/>
        </w:rPr>
      </w:pPr>
      <w:r>
        <w:rPr>
          <w:sz w:val="24"/>
          <w:szCs w:val="24"/>
        </w:rPr>
        <w:t xml:space="preserve">These </w:t>
      </w:r>
      <w:r w:rsidR="00F7366B">
        <w:rPr>
          <w:sz w:val="24"/>
          <w:szCs w:val="24"/>
        </w:rPr>
        <w:t xml:space="preserve">two </w:t>
      </w:r>
      <w:r>
        <w:rPr>
          <w:sz w:val="24"/>
          <w:szCs w:val="24"/>
        </w:rPr>
        <w:t xml:space="preserve">items address </w:t>
      </w:r>
      <w:r w:rsidRPr="0022120A">
        <w:rPr>
          <w:sz w:val="24"/>
          <w:szCs w:val="24"/>
        </w:rPr>
        <w:t xml:space="preserve">the issue of </w:t>
      </w:r>
      <w:r w:rsidR="00832F8E">
        <w:rPr>
          <w:sz w:val="24"/>
          <w:szCs w:val="24"/>
        </w:rPr>
        <w:t>the Government</w:t>
      </w:r>
      <w:r w:rsidR="00832F8E" w:rsidRPr="0022120A">
        <w:rPr>
          <w:sz w:val="24"/>
          <w:szCs w:val="24"/>
        </w:rPr>
        <w:t xml:space="preserve">’s </w:t>
      </w:r>
      <w:r w:rsidRPr="0022120A">
        <w:rPr>
          <w:sz w:val="24"/>
          <w:szCs w:val="24"/>
        </w:rPr>
        <w:t xml:space="preserve">support, through </w:t>
      </w:r>
      <w:proofErr w:type="spellStart"/>
      <w:r w:rsidRPr="0022120A">
        <w:rPr>
          <w:sz w:val="24"/>
          <w:szCs w:val="24"/>
        </w:rPr>
        <w:t>EMDG</w:t>
      </w:r>
      <w:proofErr w:type="spellEnd"/>
      <w:r w:rsidRPr="0022120A">
        <w:rPr>
          <w:sz w:val="24"/>
          <w:szCs w:val="24"/>
        </w:rPr>
        <w:t>, of a product</w:t>
      </w:r>
      <w:r w:rsidR="00D42B6D">
        <w:rPr>
          <w:sz w:val="24"/>
          <w:szCs w:val="24"/>
        </w:rPr>
        <w:t xml:space="preserve"> or promotion</w:t>
      </w:r>
      <w:r w:rsidRPr="0022120A">
        <w:rPr>
          <w:sz w:val="24"/>
          <w:szCs w:val="24"/>
        </w:rPr>
        <w:t xml:space="preserve"> where, in the opinion of the </w:t>
      </w:r>
      <w:proofErr w:type="spellStart"/>
      <w:r w:rsidRPr="0022120A">
        <w:rPr>
          <w:sz w:val="24"/>
          <w:szCs w:val="24"/>
        </w:rPr>
        <w:t>CEO</w:t>
      </w:r>
      <w:proofErr w:type="spellEnd"/>
      <w:r>
        <w:rPr>
          <w:sz w:val="24"/>
          <w:szCs w:val="24"/>
        </w:rPr>
        <w:t xml:space="preserve"> of Austrade</w:t>
      </w:r>
      <w:r w:rsidRPr="0022120A">
        <w:rPr>
          <w:sz w:val="24"/>
          <w:szCs w:val="24"/>
        </w:rPr>
        <w:t xml:space="preserve">, </w:t>
      </w:r>
      <w:r w:rsidR="002E3D9D">
        <w:rPr>
          <w:sz w:val="24"/>
          <w:szCs w:val="24"/>
        </w:rPr>
        <w:t xml:space="preserve">the activity or product </w:t>
      </w:r>
      <w:r w:rsidR="00853494">
        <w:rPr>
          <w:sz w:val="24"/>
          <w:szCs w:val="24"/>
        </w:rPr>
        <w:t xml:space="preserve">may have had a detrimental impact on Australia’s trade reputation.  </w:t>
      </w:r>
      <w:r w:rsidR="002E3D9D">
        <w:rPr>
          <w:sz w:val="24"/>
          <w:szCs w:val="24"/>
        </w:rPr>
        <w:t xml:space="preserve"> </w:t>
      </w:r>
    </w:p>
    <w:p w:rsidR="002E3D9D" w:rsidRPr="0022120A" w:rsidRDefault="00CF26CD" w:rsidP="0022120A">
      <w:pPr>
        <w:pStyle w:val="CommentText"/>
        <w:rPr>
          <w:sz w:val="24"/>
          <w:szCs w:val="24"/>
        </w:rPr>
      </w:pPr>
      <w:r>
        <w:rPr>
          <w:sz w:val="24"/>
          <w:szCs w:val="24"/>
        </w:rPr>
        <w:t xml:space="preserve">While an activity or a product may not in itself be illegal, </w:t>
      </w:r>
      <w:r w:rsidR="00832F8E">
        <w:rPr>
          <w:sz w:val="24"/>
          <w:szCs w:val="24"/>
        </w:rPr>
        <w:t xml:space="preserve">the Government’s </w:t>
      </w:r>
      <w:r>
        <w:rPr>
          <w:sz w:val="24"/>
          <w:szCs w:val="24"/>
        </w:rPr>
        <w:t>s</w:t>
      </w:r>
      <w:r w:rsidR="002E3D9D">
        <w:rPr>
          <w:sz w:val="24"/>
          <w:szCs w:val="24"/>
        </w:rPr>
        <w:t xml:space="preserve">upport of </w:t>
      </w:r>
      <w:r w:rsidR="00832F8E">
        <w:rPr>
          <w:sz w:val="24"/>
          <w:szCs w:val="24"/>
        </w:rPr>
        <w:t>such</w:t>
      </w:r>
      <w:r w:rsidR="002E3D9D">
        <w:rPr>
          <w:sz w:val="24"/>
          <w:szCs w:val="24"/>
        </w:rPr>
        <w:t xml:space="preserve"> products or activities </w:t>
      </w:r>
      <w:r>
        <w:rPr>
          <w:sz w:val="24"/>
          <w:szCs w:val="24"/>
        </w:rPr>
        <w:t xml:space="preserve">by way of </w:t>
      </w:r>
      <w:r w:rsidR="00832F8E">
        <w:rPr>
          <w:sz w:val="24"/>
          <w:szCs w:val="24"/>
        </w:rPr>
        <w:t>a grant</w:t>
      </w:r>
      <w:r>
        <w:rPr>
          <w:sz w:val="24"/>
          <w:szCs w:val="24"/>
        </w:rPr>
        <w:t xml:space="preserve"> may cause detriment to Australia’s standing as a trad</w:t>
      </w:r>
      <w:r w:rsidR="00832F8E">
        <w:rPr>
          <w:sz w:val="24"/>
          <w:szCs w:val="24"/>
        </w:rPr>
        <w:t>ing</w:t>
      </w:r>
      <w:r>
        <w:rPr>
          <w:sz w:val="24"/>
          <w:szCs w:val="24"/>
        </w:rPr>
        <w:t xml:space="preserve"> nation</w:t>
      </w:r>
      <w:r w:rsidR="008F3687">
        <w:rPr>
          <w:sz w:val="24"/>
          <w:szCs w:val="24"/>
        </w:rPr>
        <w:t xml:space="preserve">. </w:t>
      </w:r>
    </w:p>
    <w:p w:rsidR="0022120A" w:rsidRPr="0022120A" w:rsidRDefault="0022120A" w:rsidP="0022120A">
      <w:pPr>
        <w:pStyle w:val="CommentText"/>
        <w:rPr>
          <w:sz w:val="24"/>
          <w:szCs w:val="24"/>
        </w:rPr>
      </w:pPr>
    </w:p>
    <w:p w:rsidR="00BC4D32" w:rsidRDefault="00BC4D32" w:rsidP="00BC4D32">
      <w:r>
        <w:rPr>
          <w:b/>
        </w:rPr>
        <w:t>Item 1</w:t>
      </w:r>
      <w:r w:rsidR="00E95900">
        <w:rPr>
          <w:b/>
        </w:rPr>
        <w:t>2</w:t>
      </w:r>
    </w:p>
    <w:p w:rsidR="00BC4D32" w:rsidRDefault="00BC4D32" w:rsidP="00BC4D32"/>
    <w:p w:rsidR="00BC4D32" w:rsidRDefault="00BC4D32" w:rsidP="00BC4D32">
      <w:r>
        <w:t xml:space="preserve">Section 105 of the </w:t>
      </w:r>
      <w:proofErr w:type="spellStart"/>
      <w:r>
        <w:t>EMDG</w:t>
      </w:r>
      <w:proofErr w:type="spellEnd"/>
      <w:r>
        <w:t xml:space="preserve"> Act restricts Austrade from directing funds from other sources towards the administration of the Act.   </w:t>
      </w:r>
    </w:p>
    <w:p w:rsidR="00BC4D32" w:rsidRDefault="00BC4D32" w:rsidP="00BC4D32"/>
    <w:p w:rsidR="008F3687" w:rsidRDefault="008F3687" w:rsidP="00BC4D32">
      <w:r>
        <w:t>This item</w:t>
      </w:r>
      <w:r w:rsidR="00BC4D32" w:rsidRPr="002D4E3A">
        <w:t xml:space="preserve"> </w:t>
      </w:r>
      <w:r w:rsidR="00AC623C" w:rsidRPr="002D4E3A">
        <w:t>removes the</w:t>
      </w:r>
      <w:r w:rsidR="00AC623C">
        <w:t xml:space="preserve"> limitation on Austrade applying funds from other sources for </w:t>
      </w:r>
      <w:proofErr w:type="spellStart"/>
      <w:r w:rsidR="00AC623C">
        <w:t>EMDG</w:t>
      </w:r>
      <w:proofErr w:type="spellEnd"/>
      <w:r w:rsidR="00AC623C">
        <w:t xml:space="preserve"> administrative purposes, so that it can supplement the </w:t>
      </w:r>
      <w:proofErr w:type="spellStart"/>
      <w:r w:rsidR="00AC623C">
        <w:t>EMDG</w:t>
      </w:r>
      <w:proofErr w:type="spellEnd"/>
      <w:r w:rsidR="00AC623C">
        <w:t xml:space="preserve"> administration funds if required.</w:t>
      </w:r>
      <w:r w:rsidR="00BC4D32">
        <w:t xml:space="preserve"> </w:t>
      </w:r>
    </w:p>
    <w:p w:rsidR="008F3687" w:rsidRDefault="008F3687" w:rsidP="00BC4D32"/>
    <w:p w:rsidR="00832F8E" w:rsidRDefault="00832F8E" w:rsidP="00BC4D32">
      <w:r>
        <w:t xml:space="preserve">For example, if Austrade experiences an unexpected growth in demand for the scheme, it has no mechanism to manage the additional workload except to </w:t>
      </w:r>
      <w:r w:rsidR="00AA59E5">
        <w:t xml:space="preserve">not process claims, or </w:t>
      </w:r>
      <w:r>
        <w:t>take more risk</w:t>
      </w:r>
      <w:r w:rsidR="00AA59E5">
        <w:t>.</w:t>
      </w:r>
      <w:r>
        <w:t xml:space="preserve"> </w:t>
      </w:r>
      <w:r w:rsidR="00AA59E5">
        <w:t>Taking greater risk</w:t>
      </w:r>
      <w:r>
        <w:t xml:space="preserve"> ultimately leads to greater cost and the probable misallocation of funds to ineligible grants.</w:t>
      </w:r>
    </w:p>
    <w:p w:rsidR="00832F8E" w:rsidRDefault="00832F8E" w:rsidP="00BC4D32"/>
    <w:p w:rsidR="00BC4D32" w:rsidRDefault="00BC4D32" w:rsidP="00BC4D32">
      <w:r>
        <w:t xml:space="preserve">The amendment preserves the original intent of this provision of the Act, as it ensures that 95 per cent of the appropriation for </w:t>
      </w:r>
      <w:proofErr w:type="spellStart"/>
      <w:r>
        <w:t>EMDG</w:t>
      </w:r>
      <w:proofErr w:type="spellEnd"/>
      <w:r>
        <w:t xml:space="preserve"> is applied to funding claimants </w:t>
      </w:r>
      <w:r w:rsidR="00AA59E5">
        <w:t xml:space="preserve">for export promotion activity, </w:t>
      </w:r>
      <w:r>
        <w:t xml:space="preserve">and that </w:t>
      </w:r>
      <w:r w:rsidR="008F3687">
        <w:t xml:space="preserve">any </w:t>
      </w:r>
      <w:r>
        <w:t>unspent funds are returned to the Commonwealth.</w:t>
      </w:r>
    </w:p>
    <w:p w:rsidR="003E2750" w:rsidRDefault="003E2750" w:rsidP="003E2750"/>
    <w:p w:rsidR="00940E13" w:rsidRDefault="00940E13" w:rsidP="00940E13">
      <w:r>
        <w:rPr>
          <w:b/>
        </w:rPr>
        <w:t>Item</w:t>
      </w:r>
      <w:r w:rsidR="00231090">
        <w:rPr>
          <w:b/>
        </w:rPr>
        <w:t>s</w:t>
      </w:r>
      <w:r w:rsidR="00E95900">
        <w:rPr>
          <w:b/>
        </w:rPr>
        <w:t xml:space="preserve"> 13</w:t>
      </w:r>
      <w:r w:rsidR="00231090">
        <w:rPr>
          <w:b/>
        </w:rPr>
        <w:t xml:space="preserve"> and 1</w:t>
      </w:r>
      <w:r w:rsidR="00E95900">
        <w:rPr>
          <w:b/>
        </w:rPr>
        <w:t>4</w:t>
      </w:r>
    </w:p>
    <w:p w:rsidR="00940E13" w:rsidRDefault="00940E13" w:rsidP="00940E13"/>
    <w:p w:rsidR="008F3687" w:rsidRDefault="00940E13" w:rsidP="00940E13">
      <w:r>
        <w:t>Section 106A of the</w:t>
      </w:r>
      <w:r w:rsidRPr="0003494B">
        <w:t xml:space="preserve"> </w:t>
      </w:r>
      <w:proofErr w:type="spellStart"/>
      <w:r>
        <w:t>EMDG</w:t>
      </w:r>
      <w:proofErr w:type="spellEnd"/>
      <w:r>
        <w:t xml:space="preserve"> </w:t>
      </w:r>
      <w:r w:rsidRPr="0003494B">
        <w:t xml:space="preserve">Act requires the Minister </w:t>
      </w:r>
      <w:r>
        <w:t>to cause</w:t>
      </w:r>
      <w:r w:rsidRPr="0003494B">
        <w:t xml:space="preserve"> the scheme</w:t>
      </w:r>
      <w:r>
        <w:t xml:space="preserve"> to be</w:t>
      </w:r>
      <w:r w:rsidRPr="0003494B">
        <w:t xml:space="preserve"> independently reviewed</w:t>
      </w:r>
      <w:r>
        <w:t xml:space="preserve"> (to commence by 1 January 2015) for the purpose of making recommendations about the continuation of the scheme. </w:t>
      </w:r>
    </w:p>
    <w:p w:rsidR="008F3687" w:rsidRDefault="008F3687" w:rsidP="00940E13"/>
    <w:p w:rsidR="008F3687" w:rsidRDefault="00940E13" w:rsidP="00940E13">
      <w:r>
        <w:t>Th</w:t>
      </w:r>
      <w:r w:rsidR="00AA59E5">
        <w:t>ese</w:t>
      </w:r>
      <w:r>
        <w:t xml:space="preserve"> item</w:t>
      </w:r>
      <w:r w:rsidR="00AA59E5">
        <w:t>s</w:t>
      </w:r>
      <w:r>
        <w:t xml:space="preserve"> </w:t>
      </w:r>
      <w:r w:rsidR="00AA59E5">
        <w:t xml:space="preserve">provide </w:t>
      </w:r>
      <w:r w:rsidR="008F3687">
        <w:t xml:space="preserve">that the first review under the amended Act must be completed no later than 31 December 2021.  </w:t>
      </w:r>
      <w:r w:rsidR="00AA59E5">
        <w:t>Each later review must be completed, and a written report given to the Minister, by a date determined by the Minister.</w:t>
      </w:r>
      <w:r w:rsidR="008F3687">
        <w:t xml:space="preserve">  </w:t>
      </w:r>
      <w:r>
        <w:t xml:space="preserve"> </w:t>
      </w:r>
    </w:p>
    <w:p w:rsidR="008F3687" w:rsidRDefault="008F3687" w:rsidP="00940E13"/>
    <w:p w:rsidR="00940E13" w:rsidRDefault="008F3687" w:rsidP="00940E13">
      <w:r>
        <w:t>Th</w:t>
      </w:r>
      <w:r w:rsidR="00AA59E5">
        <w:t>ese</w:t>
      </w:r>
      <w:r>
        <w:t xml:space="preserve"> i</w:t>
      </w:r>
      <w:r w:rsidR="00940E13">
        <w:t>t</w:t>
      </w:r>
      <w:r>
        <w:t>em</w:t>
      </w:r>
      <w:r w:rsidR="00AA59E5">
        <w:t>s</w:t>
      </w:r>
      <w:r w:rsidR="00940E13">
        <w:t xml:space="preserve"> retain the requirement for an independent review </w:t>
      </w:r>
      <w:r w:rsidR="00940E13" w:rsidRPr="00AC623C">
        <w:t>and the requirement for the Minister to table the report in the Parliament</w:t>
      </w:r>
      <w:r w:rsidR="00AC623C" w:rsidRPr="00AC623C">
        <w:t>.</w:t>
      </w:r>
    </w:p>
    <w:p w:rsidR="00722598" w:rsidRDefault="00B34F76" w:rsidP="00824E15">
      <w:pPr>
        <w:spacing w:after="240"/>
        <w:rPr>
          <w:b/>
        </w:rPr>
      </w:pPr>
      <w:r>
        <w:rPr>
          <w:b/>
        </w:rPr>
        <w:br/>
      </w:r>
      <w:r w:rsidR="00722598">
        <w:rPr>
          <w:b/>
        </w:rPr>
        <w:t>Item</w:t>
      </w:r>
      <w:r w:rsidR="003E2750">
        <w:rPr>
          <w:b/>
        </w:rPr>
        <w:t xml:space="preserve"> 1</w:t>
      </w:r>
      <w:r w:rsidR="00305302">
        <w:rPr>
          <w:b/>
        </w:rPr>
        <w:t>6</w:t>
      </w:r>
    </w:p>
    <w:p w:rsidR="00C53851" w:rsidRDefault="00C53851" w:rsidP="00C53851">
      <w:r w:rsidRPr="00E11339">
        <w:t xml:space="preserve">The definitions section of the </w:t>
      </w:r>
      <w:proofErr w:type="spellStart"/>
      <w:r w:rsidR="00291E08">
        <w:t>EMDG</w:t>
      </w:r>
      <w:proofErr w:type="spellEnd"/>
      <w:r w:rsidR="00291E08">
        <w:t xml:space="preserve"> </w:t>
      </w:r>
      <w:r w:rsidRPr="00E11339">
        <w:t xml:space="preserve">Act (s107) defines a grant year up to 30 June 2016.  </w:t>
      </w:r>
      <w:r>
        <w:t xml:space="preserve">This item </w:t>
      </w:r>
      <w:r>
        <w:rPr>
          <w:szCs w:val="24"/>
          <w:lang w:val="en-US"/>
        </w:rPr>
        <w:t>amends the definition of a grant year so that the scheme can continue without a specified termination date.</w:t>
      </w:r>
    </w:p>
    <w:p w:rsidR="00C53851" w:rsidRPr="00E11339" w:rsidRDefault="00C53851" w:rsidP="00C53851">
      <w:r w:rsidRPr="00E11339">
        <w:t xml:space="preserve"> </w:t>
      </w:r>
    </w:p>
    <w:p w:rsidR="00F42F03" w:rsidRPr="002D4E3A" w:rsidRDefault="00C53851" w:rsidP="00BD72EE">
      <w:pPr>
        <w:rPr>
          <w:b/>
        </w:rPr>
      </w:pPr>
      <w:r w:rsidRPr="00E11339">
        <w:t xml:space="preserve">A requirement for a reviewer to make a recommendation on the continuation of the scheme and the possibility of a last grant year creates significant uncertainty </w:t>
      </w:r>
      <w:r w:rsidR="00B37584">
        <w:t xml:space="preserve">with </w:t>
      </w:r>
      <w:proofErr w:type="spellStart"/>
      <w:r w:rsidR="00B37584">
        <w:t>SME</w:t>
      </w:r>
      <w:proofErr w:type="spellEnd"/>
      <w:r w:rsidR="00B37584">
        <w:t xml:space="preserve"> claimants and thereby</w:t>
      </w:r>
      <w:r w:rsidRPr="00E11339">
        <w:t xml:space="preserve"> undermines the purpose of the scheme.</w:t>
      </w:r>
      <w:r>
        <w:t xml:space="preserve"> </w:t>
      </w:r>
      <w:r w:rsidR="008F3687">
        <w:t xml:space="preserve"> </w:t>
      </w:r>
      <w:r w:rsidRPr="00E11339">
        <w:t>Further, there would be nothing to preclude a government from extending, terminating or adjusting the scheme at any time, regardless of the definition of a grant year.</w:t>
      </w:r>
      <w:r w:rsidR="00B34F76">
        <w:br/>
      </w:r>
      <w:r w:rsidR="00544724">
        <w:br/>
      </w:r>
      <w:r w:rsidR="00853494">
        <w:rPr>
          <w:b/>
        </w:rPr>
        <w:br/>
      </w:r>
      <w:r w:rsidR="00853494">
        <w:rPr>
          <w:b/>
        </w:rPr>
        <w:br/>
      </w:r>
      <w:r w:rsidR="00853494">
        <w:rPr>
          <w:b/>
        </w:rPr>
        <w:br/>
      </w:r>
      <w:r w:rsidR="00326FFF">
        <w:rPr>
          <w:b/>
        </w:rPr>
        <w:t>Item 1</w:t>
      </w:r>
      <w:r w:rsidR="000D04D9">
        <w:rPr>
          <w:b/>
        </w:rPr>
        <w:t>7</w:t>
      </w:r>
      <w:r w:rsidR="002D4E3A">
        <w:rPr>
          <w:b/>
        </w:rPr>
        <w:t xml:space="preserve"> Application provisions</w:t>
      </w:r>
    </w:p>
    <w:p w:rsidR="0085326A" w:rsidRDefault="0085326A" w:rsidP="005F67D7">
      <w:pPr>
        <w:rPr>
          <w:b/>
          <w:u w:val="single"/>
        </w:rPr>
      </w:pPr>
    </w:p>
    <w:p w:rsidR="00C852C0" w:rsidRPr="002D4E3A" w:rsidRDefault="002D4E3A" w:rsidP="00C852C0">
      <w:r w:rsidRPr="002D4E3A">
        <w:t>The ame</w:t>
      </w:r>
      <w:r w:rsidR="00305302">
        <w:t>ndments made by items 1 to 11</w:t>
      </w:r>
      <w:r>
        <w:t xml:space="preserve"> of Schedule 1 apply in relation to grants in respect of a grant year com</w:t>
      </w:r>
      <w:r w:rsidR="00326FFF">
        <w:t>mencing on or after 1 July 2016</w:t>
      </w:r>
      <w:r w:rsidR="003F5F5C">
        <w:t>.</w:t>
      </w:r>
    </w:p>
    <w:p w:rsidR="00C852C0" w:rsidRDefault="00C852C0" w:rsidP="004C6387"/>
    <w:p w:rsidR="000D04D9" w:rsidRDefault="000D04D9" w:rsidP="000D04D9">
      <w:pPr>
        <w:spacing w:after="240"/>
        <w:ind w:left="1418" w:hanging="1418"/>
        <w:rPr>
          <w:b/>
          <w:bCs/>
          <w:i/>
          <w:iCs/>
        </w:rPr>
      </w:pPr>
      <w:r>
        <w:rPr>
          <w:b/>
          <w:bCs/>
        </w:rPr>
        <w:t>SCHEDULE 2</w:t>
      </w:r>
      <w:r w:rsidRPr="000D2B70">
        <w:rPr>
          <w:b/>
          <w:bCs/>
        </w:rPr>
        <w:t xml:space="preserve">—Amendment of the </w:t>
      </w:r>
      <w:r>
        <w:rPr>
          <w:b/>
          <w:bCs/>
          <w:i/>
          <w:iCs/>
        </w:rPr>
        <w:t xml:space="preserve">Australian Trade Commission Act 1985.  </w:t>
      </w:r>
    </w:p>
    <w:p w:rsidR="003214F1" w:rsidRPr="003214F1" w:rsidRDefault="003214F1" w:rsidP="003214F1">
      <w:pPr>
        <w:rPr>
          <w:szCs w:val="24"/>
          <w:lang w:val="en-US"/>
        </w:rPr>
      </w:pPr>
      <w:r>
        <w:t xml:space="preserve">This name change will better reflect both the Austrade’s significant role in promoting and attracting foreign investment and the priority the Government has placed on attracting foreign investment to secure Australia’s future prosperity.  The corporate moniker ‘Austrade’ will not be changed, as this name and brand carries significant goodwill with business in Australia.  </w:t>
      </w:r>
      <w:r>
        <w:br/>
      </w:r>
    </w:p>
    <w:p w:rsidR="000D04D9" w:rsidRPr="00A81B87" w:rsidRDefault="00A81B87" w:rsidP="000D04D9">
      <w:pPr>
        <w:spacing w:after="240"/>
        <w:ind w:left="1418" w:hanging="1418"/>
        <w:rPr>
          <w:b/>
          <w:bCs/>
          <w:iCs/>
        </w:rPr>
      </w:pPr>
      <w:r w:rsidRPr="00A81B87">
        <w:rPr>
          <w:b/>
          <w:bCs/>
          <w:iCs/>
        </w:rPr>
        <w:t>Items 1 and 2</w:t>
      </w:r>
    </w:p>
    <w:p w:rsidR="008F3687" w:rsidRDefault="008F3687" w:rsidP="000D04D9">
      <w:pPr>
        <w:spacing w:after="240"/>
        <w:ind w:left="1418" w:hanging="1418"/>
        <w:rPr>
          <w:bCs/>
          <w:iCs/>
        </w:rPr>
      </w:pPr>
      <w:r>
        <w:rPr>
          <w:bCs/>
          <w:iCs/>
        </w:rPr>
        <w:t xml:space="preserve">These items </w:t>
      </w:r>
      <w:r w:rsidR="00A81B87">
        <w:rPr>
          <w:bCs/>
          <w:iCs/>
        </w:rPr>
        <w:t>amend the short title of the Act.</w:t>
      </w:r>
    </w:p>
    <w:p w:rsidR="00A81B87" w:rsidRPr="00A81B87" w:rsidRDefault="00A81B87" w:rsidP="000D04D9">
      <w:pPr>
        <w:spacing w:after="240"/>
        <w:ind w:left="1418" w:hanging="1418"/>
        <w:rPr>
          <w:b/>
          <w:bCs/>
          <w:iCs/>
        </w:rPr>
      </w:pPr>
      <w:r w:rsidRPr="00A81B87">
        <w:rPr>
          <w:b/>
          <w:bCs/>
          <w:iCs/>
        </w:rPr>
        <w:t>Items 3, 4, 5, 6, 7, 8, 9 and 10</w:t>
      </w:r>
    </w:p>
    <w:p w:rsidR="00A81B87" w:rsidRDefault="00A81B87" w:rsidP="000D04D9">
      <w:pPr>
        <w:spacing w:after="240"/>
        <w:ind w:left="1418" w:hanging="1418"/>
        <w:rPr>
          <w:bCs/>
          <w:iCs/>
        </w:rPr>
      </w:pPr>
      <w:r>
        <w:rPr>
          <w:bCs/>
          <w:iCs/>
        </w:rPr>
        <w:t>These items change reference</w:t>
      </w:r>
      <w:r w:rsidR="00B34F76">
        <w:rPr>
          <w:bCs/>
          <w:iCs/>
        </w:rPr>
        <w:t xml:space="preserve">s </w:t>
      </w:r>
      <w:r>
        <w:rPr>
          <w:bCs/>
          <w:iCs/>
        </w:rPr>
        <w:t>to the Australian Trade and Investment Commission.</w:t>
      </w:r>
    </w:p>
    <w:p w:rsidR="008E4606" w:rsidRPr="008E4606" w:rsidRDefault="008E4606" w:rsidP="000D04D9">
      <w:pPr>
        <w:spacing w:after="240"/>
        <w:ind w:left="1418" w:hanging="1418"/>
        <w:rPr>
          <w:b/>
          <w:bCs/>
          <w:iCs/>
        </w:rPr>
      </w:pPr>
      <w:r w:rsidRPr="008E4606">
        <w:rPr>
          <w:b/>
          <w:bCs/>
          <w:iCs/>
        </w:rPr>
        <w:t>Items 11, 12, 13, 14, 15, 16, 17, 18, 19, 20, and 21</w:t>
      </w:r>
    </w:p>
    <w:p w:rsidR="008E4606" w:rsidRPr="008E4606" w:rsidRDefault="00B34F76" w:rsidP="008E4606">
      <w:r>
        <w:t>These items m</w:t>
      </w:r>
      <w:r w:rsidR="008E4606" w:rsidRPr="008E4606">
        <w:t>ake changes to other Commonweal</w:t>
      </w:r>
      <w:r>
        <w:t>th Acts that currently refer to</w:t>
      </w:r>
      <w:r w:rsidR="008E4606" w:rsidRPr="008E4606">
        <w:t xml:space="preserve"> the Australian Trade Commission.</w:t>
      </w:r>
    </w:p>
    <w:p w:rsidR="006179FF" w:rsidRPr="00F80AB1" w:rsidRDefault="006179FF" w:rsidP="005F67D7"/>
    <w:sectPr w:rsidR="006179FF" w:rsidRPr="00F80AB1" w:rsidSect="00706854">
      <w:headerReference w:type="even" r:id="rId14"/>
      <w:headerReference w:type="default" r:id="rId15"/>
      <w:footerReference w:type="even" r:id="rId16"/>
      <w:footerReference w:type="default" r:id="rId17"/>
      <w:headerReference w:type="first" r:id="rId18"/>
      <w:footerReference w:type="first" r:id="rId19"/>
      <w:pgSz w:w="11906" w:h="16838" w:code="9"/>
      <w:pgMar w:top="1440" w:right="1304" w:bottom="1440" w:left="1531"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42" w:rsidRDefault="00495B42">
      <w:r>
        <w:separator/>
      </w:r>
    </w:p>
  </w:endnote>
  <w:endnote w:type="continuationSeparator" w:id="0">
    <w:p w:rsidR="00495B42" w:rsidRDefault="0049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54" w:rsidRDefault="007068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54" w:rsidRDefault="00706854">
    <w:pPr>
      <w:pStyle w:val="Footer"/>
      <w:jc w:val="center"/>
    </w:pPr>
    <w:r>
      <w:fldChar w:fldCharType="begin"/>
    </w:r>
    <w:r>
      <w:instrText xml:space="preserve"> PAGE   \* MERGEFORMAT </w:instrText>
    </w:r>
    <w:r>
      <w:fldChar w:fldCharType="separate"/>
    </w:r>
    <w:r w:rsidR="00233B0B">
      <w:rPr>
        <w:noProof/>
      </w:rPr>
      <w:t>7</w:t>
    </w:r>
    <w:r>
      <w:rPr>
        <w:noProof/>
      </w:rPr>
      <w:fldChar w:fldCharType="end"/>
    </w:r>
  </w:p>
  <w:p w:rsidR="00E70FDA" w:rsidRDefault="00E70F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54" w:rsidRDefault="00706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42" w:rsidRDefault="00495B42">
      <w:r>
        <w:separator/>
      </w:r>
    </w:p>
  </w:footnote>
  <w:footnote w:type="continuationSeparator" w:id="0">
    <w:p w:rsidR="00495B42" w:rsidRDefault="00495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54" w:rsidRDefault="007068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54" w:rsidRDefault="007068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54" w:rsidRDefault="00706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421"/>
    <w:multiLevelType w:val="hybridMultilevel"/>
    <w:tmpl w:val="02AA8D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00328A"/>
    <w:multiLevelType w:val="hybridMultilevel"/>
    <w:tmpl w:val="0BD0AE02"/>
    <w:lvl w:ilvl="0" w:tplc="60E8012A">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9B696D"/>
    <w:multiLevelType w:val="hybridMultilevel"/>
    <w:tmpl w:val="9F121520"/>
    <w:lvl w:ilvl="0" w:tplc="05D65C86">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338BC"/>
    <w:multiLevelType w:val="hybridMultilevel"/>
    <w:tmpl w:val="936AB49A"/>
    <w:lvl w:ilvl="0" w:tplc="0C09000F">
      <w:start w:val="1"/>
      <w:numFmt w:val="decimal"/>
      <w:lvlText w:val="%1."/>
      <w:lvlJc w:val="left"/>
      <w:pPr>
        <w:tabs>
          <w:tab w:val="num" w:pos="720"/>
        </w:tabs>
        <w:ind w:left="720" w:hanging="360"/>
      </w:pPr>
    </w:lvl>
    <w:lvl w:ilvl="1" w:tplc="606C917E">
      <w:start w:val="1"/>
      <w:numFmt w:val="bullet"/>
      <w:lvlText w:val=""/>
      <w:lvlJc w:val="left"/>
      <w:pPr>
        <w:tabs>
          <w:tab w:val="num" w:pos="1437"/>
        </w:tabs>
        <w:ind w:left="1437" w:hanging="357"/>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1017620"/>
    <w:multiLevelType w:val="hybridMultilevel"/>
    <w:tmpl w:val="D02A5A3E"/>
    <w:lvl w:ilvl="0" w:tplc="606C917E">
      <w:start w:val="1"/>
      <w:numFmt w:val="bullet"/>
      <w:lvlText w:val=""/>
      <w:lvlJc w:val="left"/>
      <w:pPr>
        <w:tabs>
          <w:tab w:val="num" w:pos="1077"/>
        </w:tabs>
        <w:ind w:left="1077" w:hanging="357"/>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12E638A5"/>
    <w:multiLevelType w:val="hybridMultilevel"/>
    <w:tmpl w:val="62EA1198"/>
    <w:lvl w:ilvl="0" w:tplc="C22ED920">
      <w:start w:val="5"/>
      <w:numFmt w:val="decimal"/>
      <w:pStyle w:val="ListBullet2"/>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5BA265C"/>
    <w:multiLevelType w:val="hybridMultilevel"/>
    <w:tmpl w:val="C048067E"/>
    <w:lvl w:ilvl="0" w:tplc="FE7A434E">
      <w:start w:val="1"/>
      <w:numFmt w:val="bullet"/>
      <w:lvlText w:val=""/>
      <w:lvlJc w:val="left"/>
      <w:pPr>
        <w:tabs>
          <w:tab w:val="num" w:pos="717"/>
        </w:tabs>
        <w:ind w:left="717" w:hanging="360"/>
      </w:pPr>
      <w:rPr>
        <w:rFonts w:ascii="Wingdings" w:hAnsi="Wingdings" w:hint="default"/>
        <w:color w:val="000000"/>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
    <w:nsid w:val="16526F41"/>
    <w:multiLevelType w:val="hybridMultilevel"/>
    <w:tmpl w:val="A5D8EFB2"/>
    <w:lvl w:ilvl="0" w:tplc="241A66AE">
      <w:start w:val="1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AE618D2"/>
    <w:multiLevelType w:val="hybridMultilevel"/>
    <w:tmpl w:val="78C6A9B2"/>
    <w:lvl w:ilvl="0" w:tplc="5C103508">
      <w:start w:val="13"/>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F8F5CD3"/>
    <w:multiLevelType w:val="multilevel"/>
    <w:tmpl w:val="A476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371FE1"/>
    <w:multiLevelType w:val="hybridMultilevel"/>
    <w:tmpl w:val="9F121520"/>
    <w:lvl w:ilvl="0" w:tplc="B41AF98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1655A4"/>
    <w:multiLevelType w:val="multilevel"/>
    <w:tmpl w:val="16481922"/>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507CB8"/>
    <w:multiLevelType w:val="hybridMultilevel"/>
    <w:tmpl w:val="3DAAF2FA"/>
    <w:lvl w:ilvl="0" w:tplc="DF709104">
      <w:start w:val="6"/>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43969E6"/>
    <w:multiLevelType w:val="hybridMultilevel"/>
    <w:tmpl w:val="EBCA589C"/>
    <w:lvl w:ilvl="0" w:tplc="21C2692C">
      <w:start w:val="7"/>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9EB4473"/>
    <w:multiLevelType w:val="hybridMultilevel"/>
    <w:tmpl w:val="E70A2410"/>
    <w:lvl w:ilvl="0" w:tplc="F1EA437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1EA4376">
      <w:start w:val="1"/>
      <w:numFmt w:val="bullet"/>
      <w:lvlText w:val=""/>
      <w:lvlJc w:val="left"/>
      <w:pPr>
        <w:tabs>
          <w:tab w:val="num" w:pos="2367"/>
        </w:tabs>
        <w:ind w:left="2367" w:hanging="56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341268"/>
    <w:multiLevelType w:val="hybridMultilevel"/>
    <w:tmpl w:val="A5F6522C"/>
    <w:lvl w:ilvl="0" w:tplc="F1EA4376">
      <w:start w:val="1"/>
      <w:numFmt w:val="bullet"/>
      <w:pStyle w:val="List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C170CA"/>
    <w:multiLevelType w:val="hybridMultilevel"/>
    <w:tmpl w:val="8C30984C"/>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17">
    <w:nsid w:val="34FF6603"/>
    <w:multiLevelType w:val="hybridMultilevel"/>
    <w:tmpl w:val="6DC821C0"/>
    <w:lvl w:ilvl="0" w:tplc="8CA40C7C">
      <w:start w:val="11"/>
      <w:numFmt w:val="decimal"/>
      <w:lvlText w:val="%1."/>
      <w:lvlJc w:val="left"/>
      <w:pPr>
        <w:tabs>
          <w:tab w:val="num" w:pos="720"/>
        </w:tabs>
        <w:ind w:left="720" w:hanging="360"/>
      </w:pPr>
      <w:rPr>
        <w:rFonts w:hint="default"/>
      </w:rPr>
    </w:lvl>
    <w:lvl w:ilvl="1" w:tplc="059C6A6C">
      <w:start w:val="1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3528038B"/>
    <w:multiLevelType w:val="hybridMultilevel"/>
    <w:tmpl w:val="49083AA0"/>
    <w:lvl w:ilvl="0" w:tplc="19227762">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9">
    <w:nsid w:val="359C580A"/>
    <w:multiLevelType w:val="hybridMultilevel"/>
    <w:tmpl w:val="5DC49178"/>
    <w:lvl w:ilvl="0" w:tplc="606C917E">
      <w:start w:val="1"/>
      <w:numFmt w:val="bullet"/>
      <w:lvlText w:val=""/>
      <w:lvlJc w:val="left"/>
      <w:pPr>
        <w:tabs>
          <w:tab w:val="num" w:pos="1077"/>
        </w:tabs>
        <w:ind w:left="1077" w:hanging="357"/>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nsid w:val="384F64BB"/>
    <w:multiLevelType w:val="hybridMultilevel"/>
    <w:tmpl w:val="C048067E"/>
    <w:lvl w:ilvl="0" w:tplc="FE7A434E">
      <w:start w:val="1"/>
      <w:numFmt w:val="bullet"/>
      <w:lvlText w:val=""/>
      <w:lvlJc w:val="left"/>
      <w:pPr>
        <w:tabs>
          <w:tab w:val="num" w:pos="717"/>
        </w:tabs>
        <w:ind w:left="717" w:hanging="360"/>
      </w:pPr>
      <w:rPr>
        <w:rFonts w:ascii="Wingdings" w:hAnsi="Wingdings" w:hint="default"/>
        <w:color w:val="000000"/>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1">
    <w:nsid w:val="3F6F4873"/>
    <w:multiLevelType w:val="hybridMultilevel"/>
    <w:tmpl w:val="49083AA0"/>
    <w:lvl w:ilvl="0" w:tplc="43941A5C">
      <w:numFmt w:val="bullet"/>
      <w:lvlText w:val=""/>
      <w:lvlJc w:val="left"/>
      <w:pPr>
        <w:tabs>
          <w:tab w:val="num" w:pos="360"/>
        </w:tabs>
        <w:ind w:left="340" w:hanging="340"/>
      </w:pPr>
      <w:rPr>
        <w:rFonts w:ascii="Symbol" w:hAnsi="Symbol" w:hint="default"/>
      </w:rPr>
    </w:lvl>
    <w:lvl w:ilvl="1" w:tplc="0409000B">
      <w:start w:val="1"/>
      <w:numFmt w:val="bullet"/>
      <w:lvlText w:val=""/>
      <w:lvlJc w:val="left"/>
      <w:pPr>
        <w:tabs>
          <w:tab w:val="num" w:pos="1156"/>
        </w:tabs>
        <w:ind w:left="1156" w:hanging="360"/>
      </w:pPr>
      <w:rPr>
        <w:rFonts w:ascii="Wingdings" w:hAnsi="Wingdings"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2">
    <w:nsid w:val="454E04EB"/>
    <w:multiLevelType w:val="hybridMultilevel"/>
    <w:tmpl w:val="BE625AA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4B000D42"/>
    <w:multiLevelType w:val="hybridMultilevel"/>
    <w:tmpl w:val="25C69F3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4C773FD7"/>
    <w:multiLevelType w:val="hybridMultilevel"/>
    <w:tmpl w:val="AE5EC2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EA722E3"/>
    <w:multiLevelType w:val="singleLevel"/>
    <w:tmpl w:val="154E9074"/>
    <w:lvl w:ilvl="0">
      <w:start w:val="5"/>
      <w:numFmt w:val="decimal"/>
      <w:lvlText w:val="%1."/>
      <w:legacy w:legacy="1" w:legacySpace="0" w:legacyIndent="360"/>
      <w:lvlJc w:val="left"/>
      <w:rPr>
        <w:rFonts w:ascii="Times New Roman" w:hAnsi="Times New Roman" w:cs="Times New Roman" w:hint="default"/>
      </w:rPr>
    </w:lvl>
  </w:abstractNum>
  <w:abstractNum w:abstractNumId="26">
    <w:nsid w:val="4FD42D7B"/>
    <w:multiLevelType w:val="hybridMultilevel"/>
    <w:tmpl w:val="0BD0AE02"/>
    <w:lvl w:ilvl="0" w:tplc="36301C28">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09659D"/>
    <w:multiLevelType w:val="hybridMultilevel"/>
    <w:tmpl w:val="F670DB00"/>
    <w:lvl w:ilvl="0" w:tplc="AA949E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11"/>
        </w:tabs>
        <w:ind w:left="1111" w:hanging="360"/>
      </w:pPr>
    </w:lvl>
    <w:lvl w:ilvl="2" w:tplc="0409001B" w:tentative="1">
      <w:start w:val="1"/>
      <w:numFmt w:val="lowerRoman"/>
      <w:lvlText w:val="%3."/>
      <w:lvlJc w:val="right"/>
      <w:pPr>
        <w:tabs>
          <w:tab w:val="num" w:pos="1831"/>
        </w:tabs>
        <w:ind w:left="1831" w:hanging="180"/>
      </w:pPr>
    </w:lvl>
    <w:lvl w:ilvl="3" w:tplc="0409000F" w:tentative="1">
      <w:start w:val="1"/>
      <w:numFmt w:val="decimal"/>
      <w:lvlText w:val="%4."/>
      <w:lvlJc w:val="left"/>
      <w:pPr>
        <w:tabs>
          <w:tab w:val="num" w:pos="2551"/>
        </w:tabs>
        <w:ind w:left="2551" w:hanging="360"/>
      </w:pPr>
    </w:lvl>
    <w:lvl w:ilvl="4" w:tplc="04090019" w:tentative="1">
      <w:start w:val="1"/>
      <w:numFmt w:val="lowerLetter"/>
      <w:lvlText w:val="%5."/>
      <w:lvlJc w:val="left"/>
      <w:pPr>
        <w:tabs>
          <w:tab w:val="num" w:pos="3271"/>
        </w:tabs>
        <w:ind w:left="3271" w:hanging="360"/>
      </w:pPr>
    </w:lvl>
    <w:lvl w:ilvl="5" w:tplc="0409001B" w:tentative="1">
      <w:start w:val="1"/>
      <w:numFmt w:val="lowerRoman"/>
      <w:lvlText w:val="%6."/>
      <w:lvlJc w:val="right"/>
      <w:pPr>
        <w:tabs>
          <w:tab w:val="num" w:pos="3991"/>
        </w:tabs>
        <w:ind w:left="3991" w:hanging="180"/>
      </w:pPr>
    </w:lvl>
    <w:lvl w:ilvl="6" w:tplc="0409000F" w:tentative="1">
      <w:start w:val="1"/>
      <w:numFmt w:val="decimal"/>
      <w:lvlText w:val="%7."/>
      <w:lvlJc w:val="left"/>
      <w:pPr>
        <w:tabs>
          <w:tab w:val="num" w:pos="4711"/>
        </w:tabs>
        <w:ind w:left="4711" w:hanging="360"/>
      </w:pPr>
    </w:lvl>
    <w:lvl w:ilvl="7" w:tplc="04090019" w:tentative="1">
      <w:start w:val="1"/>
      <w:numFmt w:val="lowerLetter"/>
      <w:lvlText w:val="%8."/>
      <w:lvlJc w:val="left"/>
      <w:pPr>
        <w:tabs>
          <w:tab w:val="num" w:pos="5431"/>
        </w:tabs>
        <w:ind w:left="5431" w:hanging="360"/>
      </w:pPr>
    </w:lvl>
    <w:lvl w:ilvl="8" w:tplc="0409001B" w:tentative="1">
      <w:start w:val="1"/>
      <w:numFmt w:val="lowerRoman"/>
      <w:lvlText w:val="%9."/>
      <w:lvlJc w:val="right"/>
      <w:pPr>
        <w:tabs>
          <w:tab w:val="num" w:pos="6151"/>
        </w:tabs>
        <w:ind w:left="6151" w:hanging="180"/>
      </w:pPr>
    </w:lvl>
  </w:abstractNum>
  <w:abstractNum w:abstractNumId="28">
    <w:nsid w:val="53CE416F"/>
    <w:multiLevelType w:val="singleLevel"/>
    <w:tmpl w:val="1D12A35C"/>
    <w:lvl w:ilvl="0">
      <w:numFmt w:val="decimal"/>
      <w:lvlText w:val="%1"/>
      <w:legacy w:legacy="1" w:legacySpace="0" w:legacyIndent="0"/>
      <w:lvlJc w:val="left"/>
    </w:lvl>
  </w:abstractNum>
  <w:abstractNum w:abstractNumId="29">
    <w:nsid w:val="57970790"/>
    <w:multiLevelType w:val="hybridMultilevel"/>
    <w:tmpl w:val="C048067E"/>
    <w:lvl w:ilvl="0" w:tplc="5B564410">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741425"/>
    <w:multiLevelType w:val="hybridMultilevel"/>
    <w:tmpl w:val="F3803C8C"/>
    <w:lvl w:ilvl="0" w:tplc="606C917E">
      <w:start w:val="1"/>
      <w:numFmt w:val="bullet"/>
      <w:lvlText w:val=""/>
      <w:lvlJc w:val="left"/>
      <w:pPr>
        <w:tabs>
          <w:tab w:val="num" w:pos="1791"/>
        </w:tabs>
        <w:ind w:left="1791" w:hanging="357"/>
      </w:pPr>
      <w:rPr>
        <w:rFonts w:ascii="Symbol" w:hAnsi="Symbol" w:hint="default"/>
      </w:rPr>
    </w:lvl>
    <w:lvl w:ilvl="1" w:tplc="0C090003">
      <w:start w:val="1"/>
      <w:numFmt w:val="bullet"/>
      <w:lvlText w:val="o"/>
      <w:lvlJc w:val="left"/>
      <w:pPr>
        <w:tabs>
          <w:tab w:val="num" w:pos="2874"/>
        </w:tabs>
        <w:ind w:left="2874" w:hanging="360"/>
      </w:pPr>
      <w:rPr>
        <w:rFonts w:ascii="Courier New" w:hAnsi="Courier New" w:cs="Courier New" w:hint="default"/>
      </w:rPr>
    </w:lvl>
    <w:lvl w:ilvl="2" w:tplc="0C090005" w:tentative="1">
      <w:start w:val="1"/>
      <w:numFmt w:val="bullet"/>
      <w:lvlText w:val=""/>
      <w:lvlJc w:val="left"/>
      <w:pPr>
        <w:tabs>
          <w:tab w:val="num" w:pos="3594"/>
        </w:tabs>
        <w:ind w:left="3594" w:hanging="360"/>
      </w:pPr>
      <w:rPr>
        <w:rFonts w:ascii="Wingdings" w:hAnsi="Wingdings" w:hint="default"/>
      </w:rPr>
    </w:lvl>
    <w:lvl w:ilvl="3" w:tplc="0C090001" w:tentative="1">
      <w:start w:val="1"/>
      <w:numFmt w:val="bullet"/>
      <w:lvlText w:val=""/>
      <w:lvlJc w:val="left"/>
      <w:pPr>
        <w:tabs>
          <w:tab w:val="num" w:pos="4314"/>
        </w:tabs>
        <w:ind w:left="4314" w:hanging="360"/>
      </w:pPr>
      <w:rPr>
        <w:rFonts w:ascii="Symbol" w:hAnsi="Symbol" w:hint="default"/>
      </w:rPr>
    </w:lvl>
    <w:lvl w:ilvl="4" w:tplc="0C090003" w:tentative="1">
      <w:start w:val="1"/>
      <w:numFmt w:val="bullet"/>
      <w:lvlText w:val="o"/>
      <w:lvlJc w:val="left"/>
      <w:pPr>
        <w:tabs>
          <w:tab w:val="num" w:pos="5034"/>
        </w:tabs>
        <w:ind w:left="5034" w:hanging="360"/>
      </w:pPr>
      <w:rPr>
        <w:rFonts w:ascii="Courier New" w:hAnsi="Courier New" w:cs="Courier New" w:hint="default"/>
      </w:rPr>
    </w:lvl>
    <w:lvl w:ilvl="5" w:tplc="0C090005" w:tentative="1">
      <w:start w:val="1"/>
      <w:numFmt w:val="bullet"/>
      <w:lvlText w:val=""/>
      <w:lvlJc w:val="left"/>
      <w:pPr>
        <w:tabs>
          <w:tab w:val="num" w:pos="5754"/>
        </w:tabs>
        <w:ind w:left="5754" w:hanging="360"/>
      </w:pPr>
      <w:rPr>
        <w:rFonts w:ascii="Wingdings" w:hAnsi="Wingdings" w:hint="default"/>
      </w:rPr>
    </w:lvl>
    <w:lvl w:ilvl="6" w:tplc="0C090001" w:tentative="1">
      <w:start w:val="1"/>
      <w:numFmt w:val="bullet"/>
      <w:lvlText w:val=""/>
      <w:lvlJc w:val="left"/>
      <w:pPr>
        <w:tabs>
          <w:tab w:val="num" w:pos="6474"/>
        </w:tabs>
        <w:ind w:left="6474" w:hanging="360"/>
      </w:pPr>
      <w:rPr>
        <w:rFonts w:ascii="Symbol" w:hAnsi="Symbol" w:hint="default"/>
      </w:rPr>
    </w:lvl>
    <w:lvl w:ilvl="7" w:tplc="0C090003" w:tentative="1">
      <w:start w:val="1"/>
      <w:numFmt w:val="bullet"/>
      <w:lvlText w:val="o"/>
      <w:lvlJc w:val="left"/>
      <w:pPr>
        <w:tabs>
          <w:tab w:val="num" w:pos="7194"/>
        </w:tabs>
        <w:ind w:left="7194" w:hanging="360"/>
      </w:pPr>
      <w:rPr>
        <w:rFonts w:ascii="Courier New" w:hAnsi="Courier New" w:cs="Courier New" w:hint="default"/>
      </w:rPr>
    </w:lvl>
    <w:lvl w:ilvl="8" w:tplc="0C090005" w:tentative="1">
      <w:start w:val="1"/>
      <w:numFmt w:val="bullet"/>
      <w:lvlText w:val=""/>
      <w:lvlJc w:val="left"/>
      <w:pPr>
        <w:tabs>
          <w:tab w:val="num" w:pos="7914"/>
        </w:tabs>
        <w:ind w:left="7914" w:hanging="360"/>
      </w:pPr>
      <w:rPr>
        <w:rFonts w:ascii="Wingdings" w:hAnsi="Wingdings" w:hint="default"/>
      </w:rPr>
    </w:lvl>
  </w:abstractNum>
  <w:abstractNum w:abstractNumId="31">
    <w:nsid w:val="5B9F3D76"/>
    <w:multiLevelType w:val="hybridMultilevel"/>
    <w:tmpl w:val="0BD0AE02"/>
    <w:lvl w:ilvl="0" w:tplc="FACCF8C8">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7A6E80"/>
    <w:multiLevelType w:val="hybridMultilevel"/>
    <w:tmpl w:val="F83A7F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0A90277"/>
    <w:multiLevelType w:val="hybridMultilevel"/>
    <w:tmpl w:val="0BD0AE02"/>
    <w:lvl w:ilvl="0" w:tplc="3BACBD38">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827962"/>
    <w:multiLevelType w:val="hybridMultilevel"/>
    <w:tmpl w:val="9F121520"/>
    <w:lvl w:ilvl="0" w:tplc="8C86873E">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D9078F"/>
    <w:multiLevelType w:val="hybridMultilevel"/>
    <w:tmpl w:val="9F121520"/>
    <w:lvl w:ilvl="0" w:tplc="4D5AEB7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511538"/>
    <w:multiLevelType w:val="hybridMultilevel"/>
    <w:tmpl w:val="77FEDAAA"/>
    <w:lvl w:ilvl="0" w:tplc="C2FA681A">
      <w:start w:val="8"/>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6DD95CCD"/>
    <w:multiLevelType w:val="hybridMultilevel"/>
    <w:tmpl w:val="D1E4B554"/>
    <w:lvl w:ilvl="0" w:tplc="9432E79C">
      <w:numFmt w:val="bullet"/>
      <w:lvlText w:val=""/>
      <w:lvlJc w:val="left"/>
      <w:pPr>
        <w:tabs>
          <w:tab w:val="num" w:pos="397"/>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F8C111A"/>
    <w:multiLevelType w:val="hybridMultilevel"/>
    <w:tmpl w:val="77F210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nsid w:val="735F4F33"/>
    <w:multiLevelType w:val="hybridMultilevel"/>
    <w:tmpl w:val="49083AA0"/>
    <w:lvl w:ilvl="0" w:tplc="43941A5C">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0">
    <w:nsid w:val="79306C6C"/>
    <w:multiLevelType w:val="hybridMultilevel"/>
    <w:tmpl w:val="633C4BE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nsid w:val="7A097D52"/>
    <w:multiLevelType w:val="hybridMultilevel"/>
    <w:tmpl w:val="49083AA0"/>
    <w:lvl w:ilvl="0" w:tplc="43941A5C">
      <w:numFmt w:val="bullet"/>
      <w:lvlText w:val=""/>
      <w:lvlJc w:val="left"/>
      <w:pPr>
        <w:tabs>
          <w:tab w:val="num" w:pos="360"/>
        </w:tabs>
        <w:ind w:left="340" w:hanging="340"/>
      </w:pPr>
      <w:rPr>
        <w:rFonts w:ascii="Symbol" w:hAnsi="Symbol" w:hint="default"/>
      </w:rPr>
    </w:lvl>
    <w:lvl w:ilvl="1" w:tplc="0409000B">
      <w:start w:val="1"/>
      <w:numFmt w:val="bullet"/>
      <w:lvlText w:val=""/>
      <w:lvlJc w:val="left"/>
      <w:pPr>
        <w:tabs>
          <w:tab w:val="num" w:pos="1156"/>
        </w:tabs>
        <w:ind w:left="1156" w:hanging="360"/>
      </w:pPr>
      <w:rPr>
        <w:rFonts w:ascii="Wingdings" w:hAnsi="Wingdings"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2">
    <w:nsid w:val="7E5A0735"/>
    <w:multiLevelType w:val="hybridMultilevel"/>
    <w:tmpl w:val="5D3C5148"/>
    <w:lvl w:ilvl="0" w:tplc="606C917E">
      <w:start w:val="1"/>
      <w:numFmt w:val="bullet"/>
      <w:lvlText w:val=""/>
      <w:lvlJc w:val="left"/>
      <w:pPr>
        <w:tabs>
          <w:tab w:val="num" w:pos="1077"/>
        </w:tabs>
        <w:ind w:left="1077" w:hanging="357"/>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5"/>
  </w:num>
  <w:num w:numId="3">
    <w:abstractNumId w:val="17"/>
  </w:num>
  <w:num w:numId="4">
    <w:abstractNumId w:val="8"/>
  </w:num>
  <w:num w:numId="5">
    <w:abstractNumId w:val="7"/>
  </w:num>
  <w:num w:numId="6">
    <w:abstractNumId w:val="25"/>
  </w:num>
  <w:num w:numId="7">
    <w:abstractNumId w:val="19"/>
  </w:num>
  <w:num w:numId="8">
    <w:abstractNumId w:val="14"/>
  </w:num>
  <w:num w:numId="9">
    <w:abstractNumId w:val="15"/>
  </w:num>
  <w:num w:numId="10">
    <w:abstractNumId w:val="24"/>
  </w:num>
  <w:num w:numId="11">
    <w:abstractNumId w:val="26"/>
  </w:num>
  <w:num w:numId="12">
    <w:abstractNumId w:val="31"/>
  </w:num>
  <w:num w:numId="13">
    <w:abstractNumId w:val="33"/>
  </w:num>
  <w:num w:numId="14">
    <w:abstractNumId w:val="29"/>
  </w:num>
  <w:num w:numId="15">
    <w:abstractNumId w:val="20"/>
  </w:num>
  <w:num w:numId="16">
    <w:abstractNumId w:val="6"/>
  </w:num>
  <w:num w:numId="17">
    <w:abstractNumId w:val="27"/>
  </w:num>
  <w:num w:numId="18">
    <w:abstractNumId w:val="34"/>
  </w:num>
  <w:num w:numId="19">
    <w:abstractNumId w:val="2"/>
  </w:num>
  <w:num w:numId="20">
    <w:abstractNumId w:val="10"/>
  </w:num>
  <w:num w:numId="21">
    <w:abstractNumId w:val="35"/>
  </w:num>
  <w:num w:numId="22">
    <w:abstractNumId w:val="1"/>
  </w:num>
  <w:num w:numId="23">
    <w:abstractNumId w:val="39"/>
  </w:num>
  <w:num w:numId="24">
    <w:abstractNumId w:val="21"/>
  </w:num>
  <w:num w:numId="25">
    <w:abstractNumId w:val="41"/>
  </w:num>
  <w:num w:numId="26">
    <w:abstractNumId w:val="18"/>
  </w:num>
  <w:num w:numId="27">
    <w:abstractNumId w:val="0"/>
  </w:num>
  <w:num w:numId="28">
    <w:abstractNumId w:val="40"/>
  </w:num>
  <w:num w:numId="29">
    <w:abstractNumId w:val="38"/>
  </w:num>
  <w:num w:numId="30">
    <w:abstractNumId w:val="23"/>
  </w:num>
  <w:num w:numId="31">
    <w:abstractNumId w:val="22"/>
  </w:num>
  <w:num w:numId="32">
    <w:abstractNumId w:val="12"/>
  </w:num>
  <w:num w:numId="33">
    <w:abstractNumId w:val="13"/>
  </w:num>
  <w:num w:numId="34">
    <w:abstractNumId w:val="36"/>
  </w:num>
  <w:num w:numId="35">
    <w:abstractNumId w:val="42"/>
  </w:num>
  <w:num w:numId="36">
    <w:abstractNumId w:val="30"/>
  </w:num>
  <w:num w:numId="37">
    <w:abstractNumId w:val="4"/>
  </w:num>
  <w:num w:numId="38">
    <w:abstractNumId w:val="11"/>
  </w:num>
  <w:num w:numId="39">
    <w:abstractNumId w:val="28"/>
  </w:num>
  <w:num w:numId="40">
    <w:abstractNumId w:val="16"/>
  </w:num>
  <w:num w:numId="41">
    <w:abstractNumId w:val="37"/>
  </w:num>
  <w:num w:numId="42">
    <w:abstractNumId w:val="3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876E3A4-0C8F-4B09-9C0F-010ED0CB5C55}"/>
    <w:docVar w:name="dgnword-eventsink" w:val="9115312"/>
  </w:docVars>
  <w:rsids>
    <w:rsidRoot w:val="00E66E3E"/>
    <w:rsid w:val="000453AA"/>
    <w:rsid w:val="000468D6"/>
    <w:rsid w:val="00056DA7"/>
    <w:rsid w:val="000612E6"/>
    <w:rsid w:val="000820EB"/>
    <w:rsid w:val="00095629"/>
    <w:rsid w:val="00095A69"/>
    <w:rsid w:val="000A2E70"/>
    <w:rsid w:val="000A3889"/>
    <w:rsid w:val="000A46F0"/>
    <w:rsid w:val="000B6088"/>
    <w:rsid w:val="000C0E78"/>
    <w:rsid w:val="000C3ECA"/>
    <w:rsid w:val="000D04D9"/>
    <w:rsid w:val="000D6B11"/>
    <w:rsid w:val="000E1553"/>
    <w:rsid w:val="000F7882"/>
    <w:rsid w:val="00122971"/>
    <w:rsid w:val="00147A42"/>
    <w:rsid w:val="00147C4B"/>
    <w:rsid w:val="00150700"/>
    <w:rsid w:val="00150E8B"/>
    <w:rsid w:val="00166140"/>
    <w:rsid w:val="00170BD2"/>
    <w:rsid w:val="0018072C"/>
    <w:rsid w:val="00190955"/>
    <w:rsid w:val="001B615F"/>
    <w:rsid w:val="001C0FB7"/>
    <w:rsid w:val="001C2AD3"/>
    <w:rsid w:val="001C4280"/>
    <w:rsid w:val="001E6473"/>
    <w:rsid w:val="0022120A"/>
    <w:rsid w:val="00231090"/>
    <w:rsid w:val="00233B0B"/>
    <w:rsid w:val="0024093D"/>
    <w:rsid w:val="0024754C"/>
    <w:rsid w:val="00264FEF"/>
    <w:rsid w:val="00266A33"/>
    <w:rsid w:val="00276322"/>
    <w:rsid w:val="00291E08"/>
    <w:rsid w:val="002A150F"/>
    <w:rsid w:val="002A2C2B"/>
    <w:rsid w:val="002A40E5"/>
    <w:rsid w:val="002D4627"/>
    <w:rsid w:val="002D4E3A"/>
    <w:rsid w:val="002E3D9D"/>
    <w:rsid w:val="002F12B3"/>
    <w:rsid w:val="002F6376"/>
    <w:rsid w:val="00303675"/>
    <w:rsid w:val="00305302"/>
    <w:rsid w:val="00305A57"/>
    <w:rsid w:val="0031039C"/>
    <w:rsid w:val="003214F1"/>
    <w:rsid w:val="00326FFF"/>
    <w:rsid w:val="0034733A"/>
    <w:rsid w:val="00351AD9"/>
    <w:rsid w:val="00366ACA"/>
    <w:rsid w:val="003672F8"/>
    <w:rsid w:val="003903C1"/>
    <w:rsid w:val="003B1B19"/>
    <w:rsid w:val="003C5FCC"/>
    <w:rsid w:val="003D09ED"/>
    <w:rsid w:val="003E2750"/>
    <w:rsid w:val="003F5F5C"/>
    <w:rsid w:val="004117E9"/>
    <w:rsid w:val="00416CE7"/>
    <w:rsid w:val="004364FB"/>
    <w:rsid w:val="00441D88"/>
    <w:rsid w:val="00443724"/>
    <w:rsid w:val="00495B42"/>
    <w:rsid w:val="00496FB2"/>
    <w:rsid w:val="004C6086"/>
    <w:rsid w:val="004C6387"/>
    <w:rsid w:val="004D1F84"/>
    <w:rsid w:val="004D2D9A"/>
    <w:rsid w:val="004E307A"/>
    <w:rsid w:val="004F4E3F"/>
    <w:rsid w:val="00515C4A"/>
    <w:rsid w:val="00525FF1"/>
    <w:rsid w:val="0053324C"/>
    <w:rsid w:val="005358AF"/>
    <w:rsid w:val="00544724"/>
    <w:rsid w:val="00570611"/>
    <w:rsid w:val="005775D2"/>
    <w:rsid w:val="00592999"/>
    <w:rsid w:val="005A2188"/>
    <w:rsid w:val="005A3E87"/>
    <w:rsid w:val="005F67D7"/>
    <w:rsid w:val="005F6986"/>
    <w:rsid w:val="006179FF"/>
    <w:rsid w:val="0062705F"/>
    <w:rsid w:val="006341A2"/>
    <w:rsid w:val="0064069E"/>
    <w:rsid w:val="006577AE"/>
    <w:rsid w:val="00661057"/>
    <w:rsid w:val="00662205"/>
    <w:rsid w:val="0066641F"/>
    <w:rsid w:val="006845DC"/>
    <w:rsid w:val="0069518C"/>
    <w:rsid w:val="006B01E9"/>
    <w:rsid w:val="006B1BC4"/>
    <w:rsid w:val="006B3E26"/>
    <w:rsid w:val="006B6261"/>
    <w:rsid w:val="006B7D1F"/>
    <w:rsid w:val="006E5399"/>
    <w:rsid w:val="006F153C"/>
    <w:rsid w:val="007056B8"/>
    <w:rsid w:val="00706854"/>
    <w:rsid w:val="00706FDF"/>
    <w:rsid w:val="00722598"/>
    <w:rsid w:val="00742DF1"/>
    <w:rsid w:val="00750105"/>
    <w:rsid w:val="00755365"/>
    <w:rsid w:val="007570F8"/>
    <w:rsid w:val="007814EA"/>
    <w:rsid w:val="00792D59"/>
    <w:rsid w:val="0079787A"/>
    <w:rsid w:val="007B4D44"/>
    <w:rsid w:val="007C6422"/>
    <w:rsid w:val="007D272B"/>
    <w:rsid w:val="007F6F79"/>
    <w:rsid w:val="00804D82"/>
    <w:rsid w:val="00824E15"/>
    <w:rsid w:val="00832F8E"/>
    <w:rsid w:val="0085326A"/>
    <w:rsid w:val="00853494"/>
    <w:rsid w:val="00854C58"/>
    <w:rsid w:val="00870C32"/>
    <w:rsid w:val="008800C0"/>
    <w:rsid w:val="008847D1"/>
    <w:rsid w:val="0089244A"/>
    <w:rsid w:val="00892A37"/>
    <w:rsid w:val="008C5CEB"/>
    <w:rsid w:val="008D5061"/>
    <w:rsid w:val="008D69DF"/>
    <w:rsid w:val="008E4606"/>
    <w:rsid w:val="008F000B"/>
    <w:rsid w:val="008F3687"/>
    <w:rsid w:val="00940E13"/>
    <w:rsid w:val="00942890"/>
    <w:rsid w:val="009431DF"/>
    <w:rsid w:val="0097454E"/>
    <w:rsid w:val="0099322B"/>
    <w:rsid w:val="009C4E4F"/>
    <w:rsid w:val="009D6E31"/>
    <w:rsid w:val="009F0BA0"/>
    <w:rsid w:val="00A044EB"/>
    <w:rsid w:val="00A05CBB"/>
    <w:rsid w:val="00A114B1"/>
    <w:rsid w:val="00A2410F"/>
    <w:rsid w:val="00A35E78"/>
    <w:rsid w:val="00A44108"/>
    <w:rsid w:val="00A741A6"/>
    <w:rsid w:val="00A81B87"/>
    <w:rsid w:val="00A87172"/>
    <w:rsid w:val="00AA59E5"/>
    <w:rsid w:val="00AB4C63"/>
    <w:rsid w:val="00AB7C41"/>
    <w:rsid w:val="00AC623C"/>
    <w:rsid w:val="00AD1204"/>
    <w:rsid w:val="00AD3270"/>
    <w:rsid w:val="00AD4290"/>
    <w:rsid w:val="00AE4706"/>
    <w:rsid w:val="00B02BC4"/>
    <w:rsid w:val="00B11264"/>
    <w:rsid w:val="00B26BB6"/>
    <w:rsid w:val="00B34F76"/>
    <w:rsid w:val="00B37584"/>
    <w:rsid w:val="00B5427F"/>
    <w:rsid w:val="00B56BC1"/>
    <w:rsid w:val="00B6725E"/>
    <w:rsid w:val="00BA1D82"/>
    <w:rsid w:val="00BB4B26"/>
    <w:rsid w:val="00BB4F9E"/>
    <w:rsid w:val="00BC4D32"/>
    <w:rsid w:val="00BC68E7"/>
    <w:rsid w:val="00BD72EE"/>
    <w:rsid w:val="00BE045D"/>
    <w:rsid w:val="00BE473F"/>
    <w:rsid w:val="00C16897"/>
    <w:rsid w:val="00C24312"/>
    <w:rsid w:val="00C37B6C"/>
    <w:rsid w:val="00C518B0"/>
    <w:rsid w:val="00C53851"/>
    <w:rsid w:val="00C80F22"/>
    <w:rsid w:val="00C82F80"/>
    <w:rsid w:val="00C830FA"/>
    <w:rsid w:val="00C852C0"/>
    <w:rsid w:val="00CC117A"/>
    <w:rsid w:val="00CF26CD"/>
    <w:rsid w:val="00CF2705"/>
    <w:rsid w:val="00D01ACC"/>
    <w:rsid w:val="00D06964"/>
    <w:rsid w:val="00D16BB3"/>
    <w:rsid w:val="00D16E89"/>
    <w:rsid w:val="00D357E4"/>
    <w:rsid w:val="00D40DD3"/>
    <w:rsid w:val="00D42B6D"/>
    <w:rsid w:val="00DA2BC1"/>
    <w:rsid w:val="00DA5FB3"/>
    <w:rsid w:val="00DB5B5E"/>
    <w:rsid w:val="00DC4DA6"/>
    <w:rsid w:val="00DD00B0"/>
    <w:rsid w:val="00DD7BB4"/>
    <w:rsid w:val="00DE23E0"/>
    <w:rsid w:val="00DE7403"/>
    <w:rsid w:val="00DF6CE9"/>
    <w:rsid w:val="00E02916"/>
    <w:rsid w:val="00E33F53"/>
    <w:rsid w:val="00E37168"/>
    <w:rsid w:val="00E45688"/>
    <w:rsid w:val="00E66E3E"/>
    <w:rsid w:val="00E70FDA"/>
    <w:rsid w:val="00E95900"/>
    <w:rsid w:val="00EB5E42"/>
    <w:rsid w:val="00ED2386"/>
    <w:rsid w:val="00EE4485"/>
    <w:rsid w:val="00F2253C"/>
    <w:rsid w:val="00F42F03"/>
    <w:rsid w:val="00F71558"/>
    <w:rsid w:val="00F7366B"/>
    <w:rsid w:val="00F7450D"/>
    <w:rsid w:val="00F80AB1"/>
    <w:rsid w:val="00F80CAA"/>
    <w:rsid w:val="00F80E6D"/>
    <w:rsid w:val="00F90885"/>
    <w:rsid w:val="00F916DD"/>
    <w:rsid w:val="00FA1971"/>
    <w:rsid w:val="00FA290A"/>
    <w:rsid w:val="00FC4B6D"/>
    <w:rsid w:val="00FD46D2"/>
    <w:rsid w:val="00FD6075"/>
    <w:rsid w:val="00FE04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E3E"/>
    <w:rPr>
      <w:sz w:val="24"/>
      <w:lang w:eastAsia="en-US"/>
    </w:rPr>
  </w:style>
  <w:style w:type="paragraph" w:styleId="Heading1">
    <w:name w:val="heading 1"/>
    <w:basedOn w:val="Normal"/>
    <w:next w:val="Normal"/>
    <w:qFormat/>
    <w:pPr>
      <w:keepNext/>
      <w:outlineLvl w:val="0"/>
    </w:pPr>
    <w:rPr>
      <w:rFonts w:ascii="Arial" w:hAnsi="Arial"/>
      <w:b/>
      <w:kern w:val="28"/>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i/>
    </w:rPr>
  </w:style>
  <w:style w:type="paragraph" w:styleId="Heading4">
    <w:name w:val="heading 4"/>
    <w:basedOn w:val="Normal"/>
    <w:next w:val="Normal"/>
    <w:qFormat/>
    <w:rsid w:val="00E66E3E"/>
    <w:pPr>
      <w:keepNext/>
      <w:tabs>
        <w:tab w:val="left" w:pos="567"/>
        <w:tab w:val="left" w:pos="851"/>
      </w:tabs>
      <w:jc w:val="center"/>
      <w:outlineLvl w:val="3"/>
    </w:pPr>
    <w:rPr>
      <w:b/>
    </w:rPr>
  </w:style>
  <w:style w:type="paragraph" w:styleId="Heading5">
    <w:name w:val="heading 5"/>
    <w:basedOn w:val="Normal"/>
    <w:next w:val="Normal"/>
    <w:qFormat/>
    <w:rsid w:val="00E66E3E"/>
    <w:pPr>
      <w:keepNext/>
      <w:tabs>
        <w:tab w:val="left" w:pos="567"/>
        <w:tab w:val="left" w:pos="851"/>
      </w:tabs>
      <w:jc w:val="center"/>
      <w:outlineLvl w:val="4"/>
    </w:pPr>
    <w:rPr>
      <w:b/>
      <w:sz w:val="40"/>
    </w:rPr>
  </w:style>
  <w:style w:type="paragraph" w:styleId="Heading6">
    <w:name w:val="heading 6"/>
    <w:basedOn w:val="Normal"/>
    <w:next w:val="Normal"/>
    <w:qFormat/>
    <w:rsid w:val="00E66E3E"/>
    <w:pPr>
      <w:keepNext/>
      <w:ind w:left="360"/>
      <w:outlineLvl w:val="5"/>
    </w:pPr>
    <w:rPr>
      <w:b/>
      <w:bCs/>
      <w:u w:val="single"/>
    </w:rPr>
  </w:style>
  <w:style w:type="paragraph" w:styleId="Heading7">
    <w:name w:val="heading 7"/>
    <w:basedOn w:val="Normal"/>
    <w:next w:val="Normal"/>
    <w:qFormat/>
    <w:rsid w:val="00E66E3E"/>
    <w:pPr>
      <w:keepNext/>
      <w:ind w:left="720"/>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DictionarySectionBreak">
    <w:name w:val="DictionarySectionBreak"/>
    <w:basedOn w:val="Normal"/>
    <w:rsid w:val="00E66E3E"/>
  </w:style>
  <w:style w:type="paragraph" w:styleId="BodyTextIndent2">
    <w:name w:val="Body Text Indent 2"/>
    <w:basedOn w:val="Normal"/>
    <w:rsid w:val="00E66E3E"/>
    <w:pPr>
      <w:spacing w:after="60"/>
      <w:ind w:left="900"/>
    </w:pPr>
    <w:rPr>
      <w:i/>
      <w:iCs/>
      <w:szCs w:val="24"/>
    </w:rPr>
  </w:style>
  <w:style w:type="character" w:styleId="Hyperlink">
    <w:name w:val="Hyperlink"/>
    <w:rsid w:val="00E66E3E"/>
    <w:rPr>
      <w:color w:val="0000FF"/>
      <w:u w:val="single"/>
    </w:rPr>
  </w:style>
  <w:style w:type="paragraph" w:styleId="BodyTextIndent3">
    <w:name w:val="Body Text Indent 3"/>
    <w:basedOn w:val="Normal"/>
    <w:rsid w:val="00E66E3E"/>
    <w:pPr>
      <w:spacing w:after="120"/>
      <w:ind w:left="896"/>
    </w:pPr>
    <w:rPr>
      <w:i/>
      <w:iCs/>
      <w:szCs w:val="24"/>
    </w:rPr>
  </w:style>
  <w:style w:type="paragraph" w:styleId="BodyText">
    <w:name w:val="Body Text"/>
    <w:basedOn w:val="Normal"/>
    <w:rsid w:val="00E66E3E"/>
    <w:rPr>
      <w:i/>
      <w:iCs/>
      <w:szCs w:val="24"/>
    </w:rPr>
  </w:style>
  <w:style w:type="paragraph" w:styleId="BodyText2">
    <w:name w:val="Body Text 2"/>
    <w:basedOn w:val="Normal"/>
    <w:rsid w:val="00E66E3E"/>
    <w:pPr>
      <w:spacing w:before="100" w:beforeAutospacing="1" w:after="100" w:afterAutospacing="1"/>
    </w:pPr>
    <w:rPr>
      <w:rFonts w:ascii="Verdana" w:eastAsia="Arial Unicode MS" w:hAnsi="Verdana" w:cs="Arial Unicode MS"/>
      <w:color w:val="000000"/>
      <w:sz w:val="16"/>
      <w:szCs w:val="16"/>
    </w:rPr>
  </w:style>
  <w:style w:type="paragraph" w:styleId="FootnoteText">
    <w:name w:val="footnote text"/>
    <w:basedOn w:val="Normal"/>
    <w:semiHidden/>
    <w:rsid w:val="00E66E3E"/>
    <w:rPr>
      <w:sz w:val="20"/>
    </w:rPr>
  </w:style>
  <w:style w:type="character" w:styleId="FootnoteReference">
    <w:name w:val="footnote reference"/>
    <w:semiHidden/>
    <w:rsid w:val="00E66E3E"/>
    <w:rPr>
      <w:vertAlign w:val="superscript"/>
    </w:rPr>
  </w:style>
  <w:style w:type="paragraph" w:customStyle="1" w:styleId="AfterFirstPara">
    <w:name w:val="AfterFirstPara"/>
    <w:basedOn w:val="Normal"/>
    <w:rsid w:val="00E66E3E"/>
    <w:pPr>
      <w:tabs>
        <w:tab w:val="num" w:pos="360"/>
      </w:tabs>
      <w:spacing w:after="120"/>
    </w:pPr>
    <w:rPr>
      <w:lang w:val="en-GB"/>
    </w:rPr>
  </w:style>
  <w:style w:type="paragraph" w:customStyle="1" w:styleId="default">
    <w:name w:val="default"/>
    <w:basedOn w:val="Normal"/>
    <w:rsid w:val="00E66E3E"/>
    <w:pPr>
      <w:spacing w:before="100" w:beforeAutospacing="1" w:after="100" w:afterAutospacing="1"/>
    </w:pPr>
    <w:rPr>
      <w:szCs w:val="24"/>
      <w:lang w:val="en-US"/>
    </w:rPr>
  </w:style>
  <w:style w:type="paragraph" w:customStyle="1" w:styleId="Style2">
    <w:name w:val="Style2"/>
    <w:basedOn w:val="Normal"/>
    <w:next w:val="Heading5"/>
    <w:rsid w:val="00E66E3E"/>
    <w:rPr>
      <w:rFonts w:ascii="Arial" w:hAnsi="Arial"/>
      <w:b/>
      <w:szCs w:val="24"/>
    </w:rPr>
  </w:style>
  <w:style w:type="paragraph" w:styleId="ListBullet2">
    <w:name w:val="List Bullet 2"/>
    <w:basedOn w:val="ListBullet"/>
    <w:rsid w:val="00E66E3E"/>
    <w:pPr>
      <w:numPr>
        <w:numId w:val="2"/>
      </w:numPr>
      <w:tabs>
        <w:tab w:val="num" w:pos="360"/>
        <w:tab w:val="left" w:pos="794"/>
      </w:tabs>
      <w:spacing w:before="80" w:line="300" w:lineRule="exact"/>
      <w:ind w:left="397"/>
      <w:jc w:val="both"/>
    </w:pPr>
    <w:rPr>
      <w:rFonts w:ascii="Book Antiqua" w:hAnsi="Book Antiqua"/>
      <w:sz w:val="22"/>
    </w:rPr>
  </w:style>
  <w:style w:type="paragraph" w:styleId="ListBullet">
    <w:name w:val="List Bullet"/>
    <w:basedOn w:val="Normal"/>
    <w:rsid w:val="00E66E3E"/>
    <w:pPr>
      <w:numPr>
        <w:numId w:val="9"/>
      </w:numPr>
    </w:pPr>
  </w:style>
  <w:style w:type="paragraph" w:customStyle="1" w:styleId="Source">
    <w:name w:val="Source"/>
    <w:basedOn w:val="BodyText"/>
    <w:next w:val="BodyText"/>
    <w:rsid w:val="00E66E3E"/>
    <w:pPr>
      <w:spacing w:before="40" w:after="60" w:line="180" w:lineRule="exact"/>
      <w:jc w:val="both"/>
    </w:pPr>
    <w:rPr>
      <w:rFonts w:ascii="Arial" w:hAnsi="Arial"/>
      <w:i w:val="0"/>
      <w:iCs w:val="0"/>
      <w:sz w:val="14"/>
      <w:szCs w:val="20"/>
    </w:rPr>
  </w:style>
  <w:style w:type="paragraph" w:customStyle="1" w:styleId="TableColumnHeading">
    <w:name w:val="Table Column Heading"/>
    <w:basedOn w:val="BodyText"/>
    <w:rsid w:val="00E66E3E"/>
    <w:pPr>
      <w:keepNext/>
      <w:keepLines/>
      <w:spacing w:before="80" w:after="80" w:line="180" w:lineRule="exact"/>
      <w:ind w:left="-57"/>
      <w:jc w:val="right"/>
    </w:pPr>
    <w:rPr>
      <w:rFonts w:ascii="Arial" w:hAnsi="Arial"/>
      <w:b/>
      <w:iCs w:val="0"/>
      <w:sz w:val="16"/>
      <w:szCs w:val="20"/>
    </w:rPr>
  </w:style>
  <w:style w:type="paragraph" w:customStyle="1" w:styleId="TableDataEntries">
    <w:name w:val="Table Data Entries"/>
    <w:basedOn w:val="BodyText"/>
    <w:rsid w:val="00E66E3E"/>
    <w:pPr>
      <w:spacing w:after="40" w:line="180" w:lineRule="exact"/>
      <w:ind w:left="-57"/>
      <w:jc w:val="right"/>
    </w:pPr>
    <w:rPr>
      <w:rFonts w:ascii="Arial" w:hAnsi="Arial"/>
      <w:i w:val="0"/>
      <w:iCs w:val="0"/>
      <w:sz w:val="16"/>
      <w:szCs w:val="20"/>
    </w:rPr>
  </w:style>
  <w:style w:type="paragraph" w:customStyle="1" w:styleId="CharCharCharCharCharChar">
    <w:name w:val="Char Char Char Char Char Char"/>
    <w:basedOn w:val="Normal"/>
    <w:rsid w:val="008F000B"/>
    <w:pPr>
      <w:spacing w:after="160" w:line="240" w:lineRule="exact"/>
    </w:pPr>
    <w:rPr>
      <w:rFonts w:ascii="Verdana" w:hAnsi="Verdana"/>
      <w:sz w:val="20"/>
      <w:szCs w:val="24"/>
      <w:lang w:val="en-US"/>
    </w:rPr>
  </w:style>
  <w:style w:type="paragraph" w:styleId="BalloonText">
    <w:name w:val="Balloon Text"/>
    <w:basedOn w:val="Normal"/>
    <w:semiHidden/>
    <w:rsid w:val="00FD46D2"/>
    <w:rPr>
      <w:rFonts w:ascii="Tahoma" w:hAnsi="Tahoma" w:cs="Tahoma"/>
      <w:sz w:val="16"/>
      <w:szCs w:val="16"/>
    </w:rPr>
  </w:style>
  <w:style w:type="character" w:styleId="LineNumber">
    <w:name w:val="line number"/>
    <w:rsid w:val="00DD00B0"/>
  </w:style>
  <w:style w:type="character" w:customStyle="1" w:styleId="FooterChar">
    <w:name w:val="Footer Char"/>
    <w:link w:val="Footer"/>
    <w:uiPriority w:val="99"/>
    <w:rsid w:val="0024754C"/>
    <w:rPr>
      <w:sz w:val="24"/>
      <w:lang w:eastAsia="en-US"/>
    </w:rPr>
  </w:style>
  <w:style w:type="paragraph" w:customStyle="1" w:styleId="ShortT">
    <w:name w:val="ShortT"/>
    <w:basedOn w:val="Normal"/>
    <w:next w:val="Normal"/>
    <w:qFormat/>
    <w:rsid w:val="00147C4B"/>
    <w:rPr>
      <w:b/>
      <w:sz w:val="40"/>
      <w:lang w:eastAsia="en-AU"/>
    </w:rPr>
  </w:style>
  <w:style w:type="paragraph" w:styleId="CommentText">
    <w:name w:val="annotation text"/>
    <w:basedOn w:val="Normal"/>
    <w:link w:val="CommentTextChar"/>
    <w:uiPriority w:val="99"/>
    <w:unhideWhenUsed/>
    <w:rsid w:val="00DD7BB4"/>
    <w:pPr>
      <w:spacing w:line="260" w:lineRule="atLeast"/>
    </w:pPr>
    <w:rPr>
      <w:rFonts w:eastAsia="Calibri"/>
      <w:sz w:val="20"/>
    </w:rPr>
  </w:style>
  <w:style w:type="character" w:customStyle="1" w:styleId="CommentTextChar">
    <w:name w:val="Comment Text Char"/>
    <w:link w:val="CommentText"/>
    <w:uiPriority w:val="99"/>
    <w:rsid w:val="00DD7BB4"/>
    <w:rPr>
      <w:rFonts w:eastAsia="Calibri"/>
      <w:lang w:eastAsia="en-US"/>
    </w:rPr>
  </w:style>
  <w:style w:type="character" w:styleId="Emphasis">
    <w:name w:val="Emphasis"/>
    <w:uiPriority w:val="20"/>
    <w:qFormat/>
    <w:rsid w:val="00150E8B"/>
    <w:rPr>
      <w:b/>
      <w:bCs/>
      <w:i w:val="0"/>
      <w:iCs w:val="0"/>
    </w:rPr>
  </w:style>
  <w:style w:type="character" w:customStyle="1" w:styleId="st1">
    <w:name w:val="st1"/>
    <w:rsid w:val="00150E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E3E"/>
    <w:rPr>
      <w:sz w:val="24"/>
      <w:lang w:eastAsia="en-US"/>
    </w:rPr>
  </w:style>
  <w:style w:type="paragraph" w:styleId="Heading1">
    <w:name w:val="heading 1"/>
    <w:basedOn w:val="Normal"/>
    <w:next w:val="Normal"/>
    <w:qFormat/>
    <w:pPr>
      <w:keepNext/>
      <w:outlineLvl w:val="0"/>
    </w:pPr>
    <w:rPr>
      <w:rFonts w:ascii="Arial" w:hAnsi="Arial"/>
      <w:b/>
      <w:kern w:val="28"/>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i/>
    </w:rPr>
  </w:style>
  <w:style w:type="paragraph" w:styleId="Heading4">
    <w:name w:val="heading 4"/>
    <w:basedOn w:val="Normal"/>
    <w:next w:val="Normal"/>
    <w:qFormat/>
    <w:rsid w:val="00E66E3E"/>
    <w:pPr>
      <w:keepNext/>
      <w:tabs>
        <w:tab w:val="left" w:pos="567"/>
        <w:tab w:val="left" w:pos="851"/>
      </w:tabs>
      <w:jc w:val="center"/>
      <w:outlineLvl w:val="3"/>
    </w:pPr>
    <w:rPr>
      <w:b/>
    </w:rPr>
  </w:style>
  <w:style w:type="paragraph" w:styleId="Heading5">
    <w:name w:val="heading 5"/>
    <w:basedOn w:val="Normal"/>
    <w:next w:val="Normal"/>
    <w:qFormat/>
    <w:rsid w:val="00E66E3E"/>
    <w:pPr>
      <w:keepNext/>
      <w:tabs>
        <w:tab w:val="left" w:pos="567"/>
        <w:tab w:val="left" w:pos="851"/>
      </w:tabs>
      <w:jc w:val="center"/>
      <w:outlineLvl w:val="4"/>
    </w:pPr>
    <w:rPr>
      <w:b/>
      <w:sz w:val="40"/>
    </w:rPr>
  </w:style>
  <w:style w:type="paragraph" w:styleId="Heading6">
    <w:name w:val="heading 6"/>
    <w:basedOn w:val="Normal"/>
    <w:next w:val="Normal"/>
    <w:qFormat/>
    <w:rsid w:val="00E66E3E"/>
    <w:pPr>
      <w:keepNext/>
      <w:ind w:left="360"/>
      <w:outlineLvl w:val="5"/>
    </w:pPr>
    <w:rPr>
      <w:b/>
      <w:bCs/>
      <w:u w:val="single"/>
    </w:rPr>
  </w:style>
  <w:style w:type="paragraph" w:styleId="Heading7">
    <w:name w:val="heading 7"/>
    <w:basedOn w:val="Normal"/>
    <w:next w:val="Normal"/>
    <w:qFormat/>
    <w:rsid w:val="00E66E3E"/>
    <w:pPr>
      <w:keepNext/>
      <w:ind w:left="720"/>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DictionarySectionBreak">
    <w:name w:val="DictionarySectionBreak"/>
    <w:basedOn w:val="Normal"/>
    <w:rsid w:val="00E66E3E"/>
  </w:style>
  <w:style w:type="paragraph" w:styleId="BodyTextIndent2">
    <w:name w:val="Body Text Indent 2"/>
    <w:basedOn w:val="Normal"/>
    <w:rsid w:val="00E66E3E"/>
    <w:pPr>
      <w:spacing w:after="60"/>
      <w:ind w:left="900"/>
    </w:pPr>
    <w:rPr>
      <w:i/>
      <w:iCs/>
      <w:szCs w:val="24"/>
    </w:rPr>
  </w:style>
  <w:style w:type="character" w:styleId="Hyperlink">
    <w:name w:val="Hyperlink"/>
    <w:rsid w:val="00E66E3E"/>
    <w:rPr>
      <w:color w:val="0000FF"/>
      <w:u w:val="single"/>
    </w:rPr>
  </w:style>
  <w:style w:type="paragraph" w:styleId="BodyTextIndent3">
    <w:name w:val="Body Text Indent 3"/>
    <w:basedOn w:val="Normal"/>
    <w:rsid w:val="00E66E3E"/>
    <w:pPr>
      <w:spacing w:after="120"/>
      <w:ind w:left="896"/>
    </w:pPr>
    <w:rPr>
      <w:i/>
      <w:iCs/>
      <w:szCs w:val="24"/>
    </w:rPr>
  </w:style>
  <w:style w:type="paragraph" w:styleId="BodyText">
    <w:name w:val="Body Text"/>
    <w:basedOn w:val="Normal"/>
    <w:rsid w:val="00E66E3E"/>
    <w:rPr>
      <w:i/>
      <w:iCs/>
      <w:szCs w:val="24"/>
    </w:rPr>
  </w:style>
  <w:style w:type="paragraph" w:styleId="BodyText2">
    <w:name w:val="Body Text 2"/>
    <w:basedOn w:val="Normal"/>
    <w:rsid w:val="00E66E3E"/>
    <w:pPr>
      <w:spacing w:before="100" w:beforeAutospacing="1" w:after="100" w:afterAutospacing="1"/>
    </w:pPr>
    <w:rPr>
      <w:rFonts w:ascii="Verdana" w:eastAsia="Arial Unicode MS" w:hAnsi="Verdana" w:cs="Arial Unicode MS"/>
      <w:color w:val="000000"/>
      <w:sz w:val="16"/>
      <w:szCs w:val="16"/>
    </w:rPr>
  </w:style>
  <w:style w:type="paragraph" w:styleId="FootnoteText">
    <w:name w:val="footnote text"/>
    <w:basedOn w:val="Normal"/>
    <w:semiHidden/>
    <w:rsid w:val="00E66E3E"/>
    <w:rPr>
      <w:sz w:val="20"/>
    </w:rPr>
  </w:style>
  <w:style w:type="character" w:styleId="FootnoteReference">
    <w:name w:val="footnote reference"/>
    <w:semiHidden/>
    <w:rsid w:val="00E66E3E"/>
    <w:rPr>
      <w:vertAlign w:val="superscript"/>
    </w:rPr>
  </w:style>
  <w:style w:type="paragraph" w:customStyle="1" w:styleId="AfterFirstPara">
    <w:name w:val="AfterFirstPara"/>
    <w:basedOn w:val="Normal"/>
    <w:rsid w:val="00E66E3E"/>
    <w:pPr>
      <w:tabs>
        <w:tab w:val="num" w:pos="360"/>
      </w:tabs>
      <w:spacing w:after="120"/>
    </w:pPr>
    <w:rPr>
      <w:lang w:val="en-GB"/>
    </w:rPr>
  </w:style>
  <w:style w:type="paragraph" w:customStyle="1" w:styleId="default">
    <w:name w:val="default"/>
    <w:basedOn w:val="Normal"/>
    <w:rsid w:val="00E66E3E"/>
    <w:pPr>
      <w:spacing w:before="100" w:beforeAutospacing="1" w:after="100" w:afterAutospacing="1"/>
    </w:pPr>
    <w:rPr>
      <w:szCs w:val="24"/>
      <w:lang w:val="en-US"/>
    </w:rPr>
  </w:style>
  <w:style w:type="paragraph" w:customStyle="1" w:styleId="Style2">
    <w:name w:val="Style2"/>
    <w:basedOn w:val="Normal"/>
    <w:next w:val="Heading5"/>
    <w:rsid w:val="00E66E3E"/>
    <w:rPr>
      <w:rFonts w:ascii="Arial" w:hAnsi="Arial"/>
      <w:b/>
      <w:szCs w:val="24"/>
    </w:rPr>
  </w:style>
  <w:style w:type="paragraph" w:styleId="ListBullet2">
    <w:name w:val="List Bullet 2"/>
    <w:basedOn w:val="ListBullet"/>
    <w:rsid w:val="00E66E3E"/>
    <w:pPr>
      <w:numPr>
        <w:numId w:val="2"/>
      </w:numPr>
      <w:tabs>
        <w:tab w:val="num" w:pos="360"/>
        <w:tab w:val="left" w:pos="794"/>
      </w:tabs>
      <w:spacing w:before="80" w:line="300" w:lineRule="exact"/>
      <w:ind w:left="397"/>
      <w:jc w:val="both"/>
    </w:pPr>
    <w:rPr>
      <w:rFonts w:ascii="Book Antiqua" w:hAnsi="Book Antiqua"/>
      <w:sz w:val="22"/>
    </w:rPr>
  </w:style>
  <w:style w:type="paragraph" w:styleId="ListBullet">
    <w:name w:val="List Bullet"/>
    <w:basedOn w:val="Normal"/>
    <w:rsid w:val="00E66E3E"/>
    <w:pPr>
      <w:numPr>
        <w:numId w:val="9"/>
      </w:numPr>
    </w:pPr>
  </w:style>
  <w:style w:type="paragraph" w:customStyle="1" w:styleId="Source">
    <w:name w:val="Source"/>
    <w:basedOn w:val="BodyText"/>
    <w:next w:val="BodyText"/>
    <w:rsid w:val="00E66E3E"/>
    <w:pPr>
      <w:spacing w:before="40" w:after="60" w:line="180" w:lineRule="exact"/>
      <w:jc w:val="both"/>
    </w:pPr>
    <w:rPr>
      <w:rFonts w:ascii="Arial" w:hAnsi="Arial"/>
      <w:i w:val="0"/>
      <w:iCs w:val="0"/>
      <w:sz w:val="14"/>
      <w:szCs w:val="20"/>
    </w:rPr>
  </w:style>
  <w:style w:type="paragraph" w:customStyle="1" w:styleId="TableColumnHeading">
    <w:name w:val="Table Column Heading"/>
    <w:basedOn w:val="BodyText"/>
    <w:rsid w:val="00E66E3E"/>
    <w:pPr>
      <w:keepNext/>
      <w:keepLines/>
      <w:spacing w:before="80" w:after="80" w:line="180" w:lineRule="exact"/>
      <w:ind w:left="-57"/>
      <w:jc w:val="right"/>
    </w:pPr>
    <w:rPr>
      <w:rFonts w:ascii="Arial" w:hAnsi="Arial"/>
      <w:b/>
      <w:iCs w:val="0"/>
      <w:sz w:val="16"/>
      <w:szCs w:val="20"/>
    </w:rPr>
  </w:style>
  <w:style w:type="paragraph" w:customStyle="1" w:styleId="TableDataEntries">
    <w:name w:val="Table Data Entries"/>
    <w:basedOn w:val="BodyText"/>
    <w:rsid w:val="00E66E3E"/>
    <w:pPr>
      <w:spacing w:after="40" w:line="180" w:lineRule="exact"/>
      <w:ind w:left="-57"/>
      <w:jc w:val="right"/>
    </w:pPr>
    <w:rPr>
      <w:rFonts w:ascii="Arial" w:hAnsi="Arial"/>
      <w:i w:val="0"/>
      <w:iCs w:val="0"/>
      <w:sz w:val="16"/>
      <w:szCs w:val="20"/>
    </w:rPr>
  </w:style>
  <w:style w:type="paragraph" w:customStyle="1" w:styleId="CharCharCharCharCharChar">
    <w:name w:val="Char Char Char Char Char Char"/>
    <w:basedOn w:val="Normal"/>
    <w:rsid w:val="008F000B"/>
    <w:pPr>
      <w:spacing w:after="160" w:line="240" w:lineRule="exact"/>
    </w:pPr>
    <w:rPr>
      <w:rFonts w:ascii="Verdana" w:hAnsi="Verdana"/>
      <w:sz w:val="20"/>
      <w:szCs w:val="24"/>
      <w:lang w:val="en-US"/>
    </w:rPr>
  </w:style>
  <w:style w:type="paragraph" w:styleId="BalloonText">
    <w:name w:val="Balloon Text"/>
    <w:basedOn w:val="Normal"/>
    <w:semiHidden/>
    <w:rsid w:val="00FD46D2"/>
    <w:rPr>
      <w:rFonts w:ascii="Tahoma" w:hAnsi="Tahoma" w:cs="Tahoma"/>
      <w:sz w:val="16"/>
      <w:szCs w:val="16"/>
    </w:rPr>
  </w:style>
  <w:style w:type="character" w:styleId="LineNumber">
    <w:name w:val="line number"/>
    <w:rsid w:val="00DD00B0"/>
  </w:style>
  <w:style w:type="character" w:customStyle="1" w:styleId="FooterChar">
    <w:name w:val="Footer Char"/>
    <w:link w:val="Footer"/>
    <w:uiPriority w:val="99"/>
    <w:rsid w:val="0024754C"/>
    <w:rPr>
      <w:sz w:val="24"/>
      <w:lang w:eastAsia="en-US"/>
    </w:rPr>
  </w:style>
  <w:style w:type="paragraph" w:customStyle="1" w:styleId="ShortT">
    <w:name w:val="ShortT"/>
    <w:basedOn w:val="Normal"/>
    <w:next w:val="Normal"/>
    <w:qFormat/>
    <w:rsid w:val="00147C4B"/>
    <w:rPr>
      <w:b/>
      <w:sz w:val="40"/>
      <w:lang w:eastAsia="en-AU"/>
    </w:rPr>
  </w:style>
  <w:style w:type="paragraph" w:styleId="CommentText">
    <w:name w:val="annotation text"/>
    <w:basedOn w:val="Normal"/>
    <w:link w:val="CommentTextChar"/>
    <w:uiPriority w:val="99"/>
    <w:unhideWhenUsed/>
    <w:rsid w:val="00DD7BB4"/>
    <w:pPr>
      <w:spacing w:line="260" w:lineRule="atLeast"/>
    </w:pPr>
    <w:rPr>
      <w:rFonts w:eastAsia="Calibri"/>
      <w:sz w:val="20"/>
    </w:rPr>
  </w:style>
  <w:style w:type="character" w:customStyle="1" w:styleId="CommentTextChar">
    <w:name w:val="Comment Text Char"/>
    <w:link w:val="CommentText"/>
    <w:uiPriority w:val="99"/>
    <w:rsid w:val="00DD7BB4"/>
    <w:rPr>
      <w:rFonts w:eastAsia="Calibri"/>
      <w:lang w:eastAsia="en-US"/>
    </w:rPr>
  </w:style>
  <w:style w:type="character" w:styleId="Emphasis">
    <w:name w:val="Emphasis"/>
    <w:uiPriority w:val="20"/>
    <w:qFormat/>
    <w:rsid w:val="00150E8B"/>
    <w:rPr>
      <w:b/>
      <w:bCs/>
      <w:i w:val="0"/>
      <w:iCs w:val="0"/>
    </w:rPr>
  </w:style>
  <w:style w:type="character" w:customStyle="1" w:styleId="st1">
    <w:name w:val="st1"/>
    <w:rsid w:val="00150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B94216FC03994448E0B41B6F092656F" ma:contentTypeVersion="2" ma:contentTypeDescription="Create a new document." ma:contentTypeScope="" ma:versionID="b8978b612e31f7c04352aa021071a5c9">
  <xsd:schema xmlns:xsd="http://www.w3.org/2001/XMLSchema" xmlns:xs="http://www.w3.org/2001/XMLSchema" xmlns:p="http://schemas.microsoft.com/office/2006/metadata/properties" xmlns:ns2="52d2b1bf-f310-45e2-aba7-632ee969a559" targetNamespace="http://schemas.microsoft.com/office/2006/metadata/properties" ma:root="true" ma:fieldsID="d6be3adfca6a49ae1e5494886af49f3d" ns2:_="">
    <xsd:import namespace="52d2b1bf-f310-45e2-aba7-632ee969a55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2b1bf-f310-45e2-aba7-632ee969a55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F8B23-C717-415B-B9C5-CF2DF8DB3A4A}">
  <ds:schemaRefs>
    <ds:schemaRef ds:uri="http://schemas.microsoft.com/office/2006/metadata/longProperties"/>
  </ds:schemaRefs>
</ds:datastoreItem>
</file>

<file path=customXml/itemProps2.xml><?xml version="1.0" encoding="utf-8"?>
<ds:datastoreItem xmlns:ds="http://schemas.openxmlformats.org/officeDocument/2006/customXml" ds:itemID="{61CB6305-9A23-499E-B514-AC3ADBCFECED}">
  <ds:schemaRefs>
    <ds:schemaRef ds:uri="http://schemas.microsoft.com/sharepoint/events"/>
  </ds:schemaRefs>
</ds:datastoreItem>
</file>

<file path=customXml/itemProps3.xml><?xml version="1.0" encoding="utf-8"?>
<ds:datastoreItem xmlns:ds="http://schemas.openxmlformats.org/officeDocument/2006/customXml" ds:itemID="{E7308004-EFF6-4D55-BAB9-9C2D8DE09F98}">
  <ds:schemaRefs>
    <ds:schemaRef ds:uri="http://schemas.microsoft.com/sharepoint/v3/contenttype/forms"/>
  </ds:schemaRefs>
</ds:datastoreItem>
</file>

<file path=customXml/itemProps4.xml><?xml version="1.0" encoding="utf-8"?>
<ds:datastoreItem xmlns:ds="http://schemas.openxmlformats.org/officeDocument/2006/customXml" ds:itemID="{6946B96E-9A6C-4989-94A2-E848970B4C2E}">
  <ds:schemaRefs>
    <ds:schemaRef ds:uri="http://schemas.microsoft.com/office/infopath/2007/PartnerControls"/>
    <ds:schemaRef ds:uri="52d2b1bf-f310-45e2-aba7-632ee969a559"/>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purl.org/dc/dcmitype/"/>
    <ds:schemaRef ds:uri="http://schemas.microsoft.com/office/2006/metadata/properties"/>
  </ds:schemaRefs>
</ds:datastoreItem>
</file>

<file path=customXml/itemProps5.xml><?xml version="1.0" encoding="utf-8"?>
<ds:datastoreItem xmlns:ds="http://schemas.openxmlformats.org/officeDocument/2006/customXml" ds:itemID="{251C5EAD-2DAA-4DD1-B4A6-0CF62211C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2b1bf-f310-45e2-aba7-632ee969a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C4A8627-08B9-42E1-BD5B-890EABE8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1746</Words>
  <Characters>9954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2004−2005–2006</vt:lpstr>
    </vt:vector>
  </TitlesOfParts>
  <Company>Australian Trade Commission</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2004−2005–2006</dc:title>
  <dc:creator>david-cockerell</dc:creator>
  <cp:lastModifiedBy>Channells, Julie</cp:lastModifiedBy>
  <cp:revision>2</cp:revision>
  <cp:lastPrinted>2016-01-20T00:26:00Z</cp:lastPrinted>
  <dcterms:created xsi:type="dcterms:W3CDTF">2016-02-10T00:27:00Z</dcterms:created>
  <dcterms:modified xsi:type="dcterms:W3CDTF">2016-02-10T00:27:00Z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0x0101002B94216FC03994448E0B41B6F092656F</vt:lpwstr>
  </property>
  <property fmtid="{D5CDD505-2E9C-101B-9397-08002B2CF9AE}" pid="3" name="_dlc_DocId">
    <vt:lpwstr>HUB02-83-21163</vt:lpwstr>
  </property>
  <property fmtid="{D5CDD505-2E9C-101B-9397-08002B2CF9AE}" pid="4" name="_dlc_DocIdItemGuid">
    <vt:lpwstr>8407d744-0cc8-462d-96d0-4d6090ec3a55</vt:lpwstr>
  </property>
  <property fmtid="{D5CDD505-2E9C-101B-9397-08002B2CF9AE}" pid="5" name="_dlc_DocIdUrl">
    <vt:lpwstr>http://thehub/ws/co/EMDG/_layouts/15/DocIdRedir.aspx?ID=HUB02-83-21163, HUB02-83-21163</vt:lpwstr>
  </property>
</Properties>
</file>